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2B67B">
      <w:pPr>
        <w:pStyle w:val="18"/>
        <w:framePr w:wrap="notBeside" w:vAnchor="page" w:hAnchor="page" w:x="1372" w:y="568"/>
        <w:tabs>
          <w:tab w:val="clear" w:pos="4153"/>
          <w:tab w:val="clear" w:pos="8306"/>
        </w:tabs>
        <w:spacing w:line="240"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4D9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E9DD4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0BBFD3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11.020</w:t>
            </w:r>
          </w:p>
        </w:tc>
      </w:tr>
      <w:tr w14:paraId="541C3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A7C1A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113" w:type="dxa"/>
              </w:tblCellMar>
            </w:tblPr>
            <w:tblGrid>
              <w:gridCol w:w="9242"/>
            </w:tblGrid>
            <w:tr w14:paraId="67D3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113" w:type="dxa"/>
                </w:tblCellMar>
              </w:tblPrEx>
              <w:trPr>
                <w:trHeight w:val="1021" w:hRule="exact"/>
              </w:trPr>
              <w:tc>
                <w:tcPr>
                  <w:tcW w:w="9242" w:type="dxa"/>
                  <w:vAlign w:val="center"/>
                </w:tcPr>
                <w:p w14:paraId="748C83B3">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sz w:val="21"/>
                      <w:szCs w:val="21"/>
                    </w:rPr>
                    <w:t xml:space="preserve"> </w:t>
                  </w:r>
                  <w:r>
                    <w:rPr>
                      <w:rFonts w:hint="eastAsia"/>
                    </w:rPr>
                    <w:t>CHNAW</w:t>
                  </w:r>
                </w:p>
              </w:tc>
            </w:tr>
            <w:tr w14:paraId="0197B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113" w:type="dxa"/>
                </w:tblCellMar>
              </w:tblPrEx>
              <w:trPr>
                <w:trHeight w:val="1021" w:hRule="exact"/>
              </w:trPr>
              <w:tc>
                <w:tcPr>
                  <w:tcW w:w="9242" w:type="dxa"/>
                  <w:vAlign w:val="center"/>
                </w:tcPr>
                <w:p w14:paraId="1B4CC75F">
                  <w:pPr>
                    <w:pStyle w:val="49"/>
                    <w:framePr w:wrap="notBeside" w:vAnchor="page" w:hAnchor="page" w:x="1372" w:y="568"/>
                    <w:ind w:left="420" w:right="624"/>
                  </w:pPr>
                </w:p>
              </w:tc>
            </w:tr>
          </w:tbl>
          <w:p w14:paraId="6EB9925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C10</w:t>
            </w:r>
          </w:p>
        </w:tc>
      </w:tr>
    </w:tbl>
    <w:p w14:paraId="6FF77367">
      <w:pPr>
        <w:pStyle w:val="50"/>
        <w:framePr w:w="9639" w:h="624" w:hRule="exact" w:hSpace="181" w:vSpace="181" w:wrap="around" w:vAnchor="page" w:hAnchor="page" w:x="1486" w:y="2719"/>
        <w:pBdr>
          <w:top w:val="none" w:color="auto" w:sz="0" w:space="0"/>
          <w:left w:val="none" w:color="auto" w:sz="0" w:space="0"/>
          <w:bottom w:val="none" w:color="auto" w:sz="0" w:space="0"/>
          <w:right w:val="none" w:color="auto" w:sz="0" w:space="0"/>
          <w:between w:val="none" w:color="auto" w:sz="0" w:space="0"/>
        </w:pBdr>
        <w:rPr>
          <w:rFonts w:ascii="黑体" w:hAnsi="黑体" w:eastAsia="黑体"/>
          <w:b w:val="0"/>
          <w:bCs w:val="0"/>
          <w:w w:val="100"/>
          <w:sz w:val="48"/>
          <w:szCs w:val="48"/>
        </w:rPr>
      </w:pPr>
      <w:bookmarkStart w:id="0" w:name="_Hlk26473981"/>
      <w:r>
        <w:rPr>
          <w:rFonts w:hint="eastAsia" w:ascii="黑体" w:eastAsia="黑体"/>
          <w:b w:val="0"/>
          <w:w w:val="100"/>
          <w:sz w:val="48"/>
        </w:rPr>
        <w:t>中国民族卫生协会团体</w:t>
      </w:r>
      <w:r>
        <w:rPr>
          <w:rFonts w:hint="eastAsia" w:ascii="黑体" w:hAnsi="黑体" w:eastAsia="黑体"/>
          <w:b w:val="0"/>
          <w:bCs w:val="0"/>
          <w:w w:val="100"/>
          <w:sz w:val="48"/>
          <w:szCs w:val="48"/>
        </w:rPr>
        <w:t>标准</w:t>
      </w:r>
    </w:p>
    <w:bookmarkEnd w:id="0"/>
    <w:p w14:paraId="3737F638">
      <w:pPr>
        <w:pStyle w:val="195"/>
        <w:framePr w:x="1568" w:y="3601"/>
      </w:pPr>
      <w:r>
        <w:t>T/</w:t>
      </w:r>
      <w:r>
        <w:rPr>
          <w:rFonts w:hint="eastAsia"/>
        </w:rPr>
        <w:t>CHNAW</w:t>
      </w:r>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rPr>
          <w:rFonts w:hint="eastAsia"/>
        </w:rPr>
        <w:t>2026</w:t>
      </w:r>
    </w:p>
    <w:p w14:paraId="13F0D25D">
      <w:pPr>
        <w:pStyle w:val="196"/>
        <w:framePr w:x="1568" w:y="3601"/>
        <w:rPr>
          <w:rFonts w:hAnsi="黑体"/>
        </w:rPr>
      </w:pPr>
    </w:p>
    <w:p w14:paraId="37F9B2E3">
      <w:pPr>
        <w:spacing w:line="240" w:lineRule="auto"/>
        <w:rPr>
          <w:rFonts w:ascii="黑体" w:hAnsi="黑体" w:eastAsia="黑体"/>
          <w:kern w:val="0"/>
          <w:sz w:val="10"/>
          <w:szCs w:val="10"/>
        </w:rPr>
      </w:pPr>
      <w:bookmarkStart w:id="55" w:name="_GoBack"/>
      <w:bookmarkEnd w:id="55"/>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E3A58A6">
      <w:pPr>
        <w:pStyle w:val="50"/>
        <w:framePr w:w="9639" w:h="6976" w:hRule="exact" w:hSpace="0" w:vSpace="0" w:wrap="around" w:hAnchor="page" w:y="6408"/>
        <w:jc w:val="center"/>
        <w:rPr>
          <w:rFonts w:ascii="黑体" w:hAnsi="黑体" w:eastAsia="黑体"/>
          <w:b w:val="0"/>
          <w:bCs w:val="0"/>
          <w:w w:val="100"/>
        </w:rPr>
      </w:pPr>
    </w:p>
    <w:p w14:paraId="60BBAC78">
      <w:pPr>
        <w:pStyle w:val="197"/>
        <w:framePr w:h="6974" w:hRule="exact" w:wrap="around" w:x="1419" w:anchorLock="1"/>
      </w:pPr>
      <w:r>
        <w:rPr>
          <w:rFonts w:hint="eastAsia"/>
        </w:rPr>
        <w:t>地铁场站室内空气病原体现场智能采样</w:t>
      </w:r>
    </w:p>
    <w:p w14:paraId="32E2CB2E">
      <w:pPr>
        <w:pStyle w:val="197"/>
        <w:framePr w:h="6974" w:hRule="exact" w:wrap="around" w:x="1419" w:anchorLock="1"/>
      </w:pPr>
      <w:r>
        <w:rPr>
          <w:rFonts w:hint="eastAsia"/>
        </w:rPr>
        <w:t>技术指南</w:t>
      </w:r>
    </w:p>
    <w:p w14:paraId="0B50C0D4">
      <w:pPr>
        <w:framePr w:w="9639" w:h="6974" w:hRule="exact" w:wrap="around" w:vAnchor="page" w:hAnchor="page" w:x="1419" w:y="6408" w:anchorLock="1"/>
        <w:ind w:left="-1418"/>
      </w:pPr>
    </w:p>
    <w:p w14:paraId="2DB49480">
      <w:pPr>
        <w:pStyle w:val="125"/>
        <w:framePr w:w="9639" w:h="6974" w:hRule="exact" w:wrap="around" w:vAnchor="page" w:hAnchor="page" w:x="1419" w:y="6408" w:anchorLock="1"/>
        <w:textAlignment w:val="bottom"/>
        <w:rPr>
          <w:rFonts w:eastAsia="黑体"/>
          <w:szCs w:val="28"/>
        </w:rPr>
      </w:pPr>
      <w:r>
        <w:rPr>
          <w:rFonts w:hint="eastAsia" w:eastAsia="黑体"/>
          <w:szCs w:val="28"/>
        </w:rPr>
        <w:t>Guidelines for On-site Intelligent Sampling Technology of Airborne Pathogens in Rail Transit Stations</w:t>
      </w:r>
    </w:p>
    <w:p w14:paraId="0DB08E54">
      <w:pPr>
        <w:framePr w:w="9639" w:h="6974" w:hRule="exact" w:wrap="around" w:vAnchor="page" w:hAnchor="page" w:x="1419" w:y="6408" w:anchorLock="1"/>
        <w:spacing w:line="760" w:lineRule="exact"/>
        <w:ind w:left="-1418"/>
      </w:pPr>
    </w:p>
    <w:p w14:paraId="101AD38D">
      <w:pPr>
        <w:pStyle w:val="125"/>
        <w:framePr w:w="9639" w:h="6974" w:hRule="exact" w:wrap="around" w:vAnchor="page" w:hAnchor="page" w:x="1419" w:y="6408" w:anchorLock="1"/>
        <w:textAlignment w:val="bottom"/>
        <w:rPr>
          <w:rFonts w:eastAsia="黑体"/>
          <w:szCs w:val="28"/>
        </w:rPr>
      </w:pPr>
    </w:p>
    <w:p w14:paraId="71E48CBA">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216449D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6</w:t>
      </w:r>
      <w:r>
        <w:rPr>
          <w:sz w:val="21"/>
          <w:szCs w:val="28"/>
        </w:rPr>
        <w:t>年</w:t>
      </w:r>
      <w:r>
        <w:rPr>
          <w:rFonts w:hint="eastAsia"/>
          <w:sz w:val="21"/>
          <w:szCs w:val="28"/>
        </w:rPr>
        <w:t>4</w:t>
      </w:r>
      <w:r>
        <w:rPr>
          <w:sz w:val="21"/>
          <w:szCs w:val="28"/>
        </w:rPr>
        <w:t>月</w:t>
      </w:r>
      <w:r>
        <w:rPr>
          <w:rFonts w:hint="eastAsia"/>
          <w:sz w:val="21"/>
          <w:szCs w:val="28"/>
        </w:rPr>
        <w:t>1</w:t>
      </w:r>
      <w:r>
        <w:rPr>
          <w:sz w:val="21"/>
          <w:szCs w:val="28"/>
        </w:rPr>
        <w:t>日</w:t>
      </w:r>
      <w:r>
        <w:rPr>
          <w:rFonts w:hint="eastAsia"/>
          <w:sz w:val="21"/>
          <w:szCs w:val="28"/>
        </w:rPr>
        <w:t>）</w:t>
      </w:r>
      <w:r>
        <w:rPr>
          <w:sz w:val="21"/>
          <w:szCs w:val="28"/>
        </w:rPr>
        <w:fldChar w:fldCharType="end"/>
      </w:r>
      <w:bookmarkEnd w:id="2"/>
    </w:p>
    <w:p w14:paraId="40B7C2B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3" w:name="下拉2"/>
      <w:r>
        <w:rPr>
          <w:b/>
          <w:sz w:val="21"/>
          <w:szCs w:val="28"/>
        </w:rPr>
        <w:instrText xml:space="preserve"> FORMDROPDOWN </w:instrText>
      </w:r>
      <w:r>
        <w:rPr>
          <w:b/>
          <w:sz w:val="21"/>
          <w:szCs w:val="28"/>
        </w:rPr>
        <w:fldChar w:fldCharType="separate"/>
      </w:r>
      <w:r>
        <w:rPr>
          <w:b/>
          <w:sz w:val="21"/>
          <w:szCs w:val="28"/>
        </w:rPr>
        <w:fldChar w:fldCharType="end"/>
      </w:r>
      <w:bookmarkEnd w:id="3"/>
    </w:p>
    <w:p w14:paraId="646004A3">
      <w:pPr>
        <w:pStyle w:val="193"/>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p>
    <w:p w14:paraId="01E98820">
      <w:pPr>
        <w:pStyle w:val="194"/>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14:paraId="541CB0A4">
      <w:pPr>
        <w:pStyle w:val="151"/>
        <w:framePr w:h="584" w:hRule="exact" w:hSpace="181" w:vSpace="181" w:wrap="around" w:y="14800"/>
        <w:rPr>
          <w:rFonts w:hAnsi="黑体"/>
        </w:rPr>
      </w:pPr>
      <w:r>
        <w:rPr>
          <w:rFonts w:hint="eastAsia" w:hAnsi="黑体"/>
          <w:w w:val="100"/>
          <w:sz w:val="28"/>
        </w:rPr>
        <w:t>中国民族卫生协会</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39565E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D95118">
      <w:pPr>
        <w:pStyle w:val="91"/>
        <w:spacing w:after="360"/>
        <w:rPr>
          <w:rFonts w:hint="eastAsia"/>
        </w:rPr>
      </w:pPr>
      <w:bookmarkStart w:id="10" w:name="BookMark1"/>
      <w:r>
        <w:rPr>
          <w:rFonts w:hint="eastAsia"/>
          <w:spacing w:val="320"/>
        </w:rPr>
        <w:t>目</w:t>
      </w:r>
      <w:r>
        <w:rPr>
          <w:rFonts w:hint="eastAsia"/>
        </w:rPr>
        <w:t>次</w:t>
      </w:r>
    </w:p>
    <w:p w14:paraId="47E3EEF6">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"_Toc226122503" </w:instrText>
      </w:r>
      <w:r>
        <w:fldChar w:fldCharType="separate"/>
      </w:r>
      <w:r>
        <w:rPr>
          <w:rStyle w:val="32"/>
          <w:rFonts w:hint="eastAsia"/>
        </w:rPr>
        <w:t>前言</w:t>
      </w:r>
      <w:r>
        <w:tab/>
      </w:r>
      <w:r>
        <w:fldChar w:fldCharType="begin"/>
      </w:r>
      <w:r>
        <w:instrText xml:space="preserve"> PAGEREF _Toc226122503 \h </w:instrText>
      </w:r>
      <w:r>
        <w:fldChar w:fldCharType="separate"/>
      </w:r>
      <w:r>
        <w:t>II</w:t>
      </w:r>
      <w:r>
        <w:fldChar w:fldCharType="end"/>
      </w:r>
      <w:r>
        <w:fldChar w:fldCharType="end"/>
      </w:r>
    </w:p>
    <w:p w14:paraId="7EC502F1">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"_Toc226122504" </w:instrText>
      </w:r>
      <w:r>
        <w:fldChar w:fldCharType="separate"/>
      </w:r>
      <w:r>
        <w:rPr>
          <w:rStyle w:val="32"/>
        </w:rPr>
        <w:t xml:space="preserve">1 </w:t>
      </w:r>
      <w:r>
        <w:rPr>
          <w:rStyle w:val="32"/>
          <w:rFonts w:hint="eastAsia"/>
        </w:rPr>
        <w:t xml:space="preserve"> 范围</w:t>
      </w:r>
      <w:r>
        <w:tab/>
      </w:r>
      <w:r>
        <w:fldChar w:fldCharType="begin"/>
      </w:r>
      <w:r>
        <w:instrText xml:space="preserve"> PAGEREF _Toc226122504 \h </w:instrText>
      </w:r>
      <w:r>
        <w:fldChar w:fldCharType="separate"/>
      </w:r>
      <w:r>
        <w:t>1</w:t>
      </w:r>
      <w:r>
        <w:fldChar w:fldCharType="end"/>
      </w:r>
      <w:r>
        <w:fldChar w:fldCharType="end"/>
      </w:r>
    </w:p>
    <w:p w14:paraId="167C7F96">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"_Toc226122505"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_Toc226122505 \h </w:instrText>
      </w:r>
      <w:r>
        <w:fldChar w:fldCharType="separate"/>
      </w:r>
      <w:r>
        <w:t>1</w:t>
      </w:r>
      <w:r>
        <w:fldChar w:fldCharType="end"/>
      </w:r>
      <w:r>
        <w:fldChar w:fldCharType="end"/>
      </w:r>
    </w:p>
    <w:p w14:paraId="53D97C56">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"_Toc226122506"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_Toc226122506 \h </w:instrText>
      </w:r>
      <w:r>
        <w:fldChar w:fldCharType="separate"/>
      </w:r>
      <w:r>
        <w:t>1</w:t>
      </w:r>
      <w:r>
        <w:fldChar w:fldCharType="end"/>
      </w:r>
      <w:r>
        <w:fldChar w:fldCharType="end"/>
      </w:r>
    </w:p>
    <w:p w14:paraId="248CE6E6">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"_Toc226122507" </w:instrText>
      </w:r>
      <w:r>
        <w:fldChar w:fldCharType="separate"/>
      </w:r>
      <w:r>
        <w:rPr>
          <w:rStyle w:val="32"/>
        </w:rPr>
        <w:t xml:space="preserve">4 </w:t>
      </w:r>
      <w:r>
        <w:rPr>
          <w:rStyle w:val="32"/>
          <w:rFonts w:hint="eastAsia"/>
        </w:rPr>
        <w:t xml:space="preserve"> 智能采样系统构成</w:t>
      </w:r>
      <w:r>
        <w:tab/>
      </w:r>
      <w:r>
        <w:fldChar w:fldCharType="begin"/>
      </w:r>
      <w:r>
        <w:instrText xml:space="preserve"> PAGEREF _Toc226122507 \h </w:instrText>
      </w:r>
      <w:r>
        <w:fldChar w:fldCharType="separate"/>
      </w:r>
      <w:r>
        <w:t>1</w:t>
      </w:r>
      <w:r>
        <w:fldChar w:fldCharType="end"/>
      </w:r>
      <w:r>
        <w:fldChar w:fldCharType="end"/>
      </w:r>
    </w:p>
    <w:p w14:paraId="7750C138">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"_Toc226122508" </w:instrText>
      </w:r>
      <w:r>
        <w:fldChar w:fldCharType="separate"/>
      </w:r>
      <w:r>
        <w:rPr>
          <w:rStyle w:val="32"/>
        </w:rPr>
        <w:t xml:space="preserve">5 </w:t>
      </w:r>
      <w:r>
        <w:rPr>
          <w:rStyle w:val="32"/>
          <w:rFonts w:hint="eastAsia"/>
        </w:rPr>
        <w:t xml:space="preserve"> 采样前的准备</w:t>
      </w:r>
      <w:r>
        <w:tab/>
      </w:r>
      <w:r>
        <w:fldChar w:fldCharType="begin"/>
      </w:r>
      <w:r>
        <w:instrText xml:space="preserve"> PAGEREF _Toc226122508 \h </w:instrText>
      </w:r>
      <w:r>
        <w:fldChar w:fldCharType="separate"/>
      </w:r>
      <w:r>
        <w:t>2</w:t>
      </w:r>
      <w:r>
        <w:fldChar w:fldCharType="end"/>
      </w:r>
      <w:r>
        <w:fldChar w:fldCharType="end"/>
      </w:r>
    </w:p>
    <w:p w14:paraId="2901D582">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"_Toc226122509" </w:instrText>
      </w:r>
      <w:r>
        <w:fldChar w:fldCharType="separate"/>
      </w:r>
      <w:r>
        <w:rPr>
          <w:rStyle w:val="32"/>
        </w:rPr>
        <w:t xml:space="preserve">6 </w:t>
      </w:r>
      <w:r>
        <w:rPr>
          <w:rStyle w:val="32"/>
          <w:rFonts w:hint="eastAsia"/>
        </w:rPr>
        <w:t xml:space="preserve"> 采样点布设</w:t>
      </w:r>
      <w:r>
        <w:tab/>
      </w:r>
      <w:r>
        <w:fldChar w:fldCharType="begin"/>
      </w:r>
      <w:r>
        <w:instrText xml:space="preserve"> PAGEREF _Toc226122509 \h </w:instrText>
      </w:r>
      <w:r>
        <w:fldChar w:fldCharType="separate"/>
      </w:r>
      <w:r>
        <w:t>2</w:t>
      </w:r>
      <w:r>
        <w:fldChar w:fldCharType="end"/>
      </w:r>
      <w:r>
        <w:fldChar w:fldCharType="end"/>
      </w:r>
    </w:p>
    <w:p w14:paraId="5EE0AAC3">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"_Toc226122510" </w:instrText>
      </w:r>
      <w:r>
        <w:fldChar w:fldCharType="separate"/>
      </w:r>
      <w:r>
        <w:rPr>
          <w:rStyle w:val="32"/>
        </w:rPr>
        <w:t xml:space="preserve">7 </w:t>
      </w:r>
      <w:r>
        <w:rPr>
          <w:rStyle w:val="32"/>
          <w:rFonts w:hint="eastAsia"/>
        </w:rPr>
        <w:t xml:space="preserve"> 采样方法与步骤</w:t>
      </w:r>
      <w:r>
        <w:tab/>
      </w:r>
      <w:r>
        <w:fldChar w:fldCharType="begin"/>
      </w:r>
      <w:r>
        <w:instrText xml:space="preserve"> PAGEREF _Toc226122510 \h </w:instrText>
      </w:r>
      <w:r>
        <w:fldChar w:fldCharType="separate"/>
      </w:r>
      <w:r>
        <w:t>2</w:t>
      </w:r>
      <w:r>
        <w:fldChar w:fldCharType="end"/>
      </w:r>
      <w:r>
        <w:fldChar w:fldCharType="end"/>
      </w:r>
    </w:p>
    <w:p w14:paraId="4572FA14">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"_Toc226122511" </w:instrText>
      </w:r>
      <w:r>
        <w:fldChar w:fldCharType="separate"/>
      </w:r>
      <w:r>
        <w:rPr>
          <w:rStyle w:val="32"/>
        </w:rPr>
        <w:t xml:space="preserve">8 </w:t>
      </w:r>
      <w:r>
        <w:rPr>
          <w:rStyle w:val="32"/>
          <w:rFonts w:hint="eastAsia"/>
        </w:rPr>
        <w:t xml:space="preserve"> 样品运输与保存</w:t>
      </w:r>
      <w:r>
        <w:tab/>
      </w:r>
      <w:r>
        <w:fldChar w:fldCharType="begin"/>
      </w:r>
      <w:r>
        <w:instrText xml:space="preserve"> PAGEREF _Toc226122511 \h </w:instrText>
      </w:r>
      <w:r>
        <w:fldChar w:fldCharType="separate"/>
      </w:r>
      <w:r>
        <w:t>3</w:t>
      </w:r>
      <w:r>
        <w:fldChar w:fldCharType="end"/>
      </w:r>
      <w:r>
        <w:fldChar w:fldCharType="end"/>
      </w:r>
    </w:p>
    <w:p w14:paraId="47F4BD1C">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"_Toc226122512" </w:instrText>
      </w:r>
      <w:r>
        <w:fldChar w:fldCharType="separate"/>
      </w:r>
      <w:r>
        <w:rPr>
          <w:rStyle w:val="32"/>
        </w:rPr>
        <w:t xml:space="preserve">9 </w:t>
      </w:r>
      <w:r>
        <w:rPr>
          <w:rStyle w:val="32"/>
          <w:rFonts w:hint="eastAsia"/>
        </w:rPr>
        <w:t xml:space="preserve"> 质量控制</w:t>
      </w:r>
      <w:r>
        <w:tab/>
      </w:r>
      <w:r>
        <w:fldChar w:fldCharType="begin"/>
      </w:r>
      <w:r>
        <w:instrText xml:space="preserve"> PAGEREF _Toc226122512 \h </w:instrText>
      </w:r>
      <w:r>
        <w:fldChar w:fldCharType="separate"/>
      </w:r>
      <w:r>
        <w:t>3</w:t>
      </w:r>
      <w:r>
        <w:fldChar w:fldCharType="end"/>
      </w:r>
      <w:r>
        <w:fldChar w:fldCharType="end"/>
      </w:r>
    </w:p>
    <w:p w14:paraId="7A58A068">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"_Toc226122513" </w:instrText>
      </w:r>
      <w:r>
        <w:fldChar w:fldCharType="separate"/>
      </w:r>
      <w:r>
        <w:rPr>
          <w:rStyle w:val="32"/>
        </w:rPr>
        <w:t xml:space="preserve">10 </w:t>
      </w:r>
      <w:r>
        <w:rPr>
          <w:rStyle w:val="32"/>
          <w:rFonts w:hint="eastAsia"/>
        </w:rPr>
        <w:t xml:space="preserve"> 采样记录与报告</w:t>
      </w:r>
      <w:r>
        <w:tab/>
      </w:r>
      <w:r>
        <w:fldChar w:fldCharType="begin"/>
      </w:r>
      <w:r>
        <w:instrText xml:space="preserve"> PAGEREF _Toc226122513 \h </w:instrText>
      </w:r>
      <w:r>
        <w:fldChar w:fldCharType="separate"/>
      </w:r>
      <w:r>
        <w:t>3</w:t>
      </w:r>
      <w:r>
        <w:fldChar w:fldCharType="end"/>
      </w:r>
      <w:r>
        <w:fldChar w:fldCharType="end"/>
      </w:r>
    </w:p>
    <w:p w14:paraId="245918FE">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0"/>
    <w:p w14:paraId="690B61BA">
      <w:pPr>
        <w:pStyle w:val="89"/>
        <w:spacing w:before="560" w:after="360"/>
      </w:pPr>
      <w:bookmarkStart w:id="11" w:name="_Toc226122503"/>
      <w:bookmarkStart w:id="12" w:name="BookMark2"/>
      <w:r>
        <w:rPr>
          <w:spacing w:val="320"/>
        </w:rPr>
        <w:t>前</w:t>
      </w:r>
      <w:r>
        <w:t>言</w:t>
      </w:r>
      <w:bookmarkEnd w:id="11"/>
    </w:p>
    <w:p w14:paraId="2B52F9DC">
      <w:pPr>
        <w:pStyle w:val="56"/>
        <w:ind w:firstLine="420"/>
      </w:pPr>
      <w:r>
        <w:rPr>
          <w:rFonts w:hint="eastAsia"/>
        </w:rPr>
        <w:t>本文件按照GB/T 1.1—2020《标准化工作导则  第1部分：标准化文件的结构和起草规则》的规定起草。</w:t>
      </w:r>
    </w:p>
    <w:p w14:paraId="1B716AAB">
      <w:pPr>
        <w:pStyle w:val="56"/>
        <w:ind w:firstLine="420"/>
      </w:pPr>
      <w:r>
        <w:rPr>
          <w:rFonts w:hint="eastAsia"/>
        </w:rPr>
        <w:t>请注意本文件的某些内容可能涉及专利。本文件的发布机构不承担识别专利的责任。</w:t>
      </w:r>
    </w:p>
    <w:p w14:paraId="0763A1D8">
      <w:pPr>
        <w:pStyle w:val="56"/>
        <w:ind w:firstLine="420"/>
      </w:pPr>
      <w:r>
        <w:rPr>
          <w:rFonts w:hint="eastAsia"/>
        </w:rPr>
        <w:t>本文件由中国民族卫生协会提出并组织实施。</w:t>
      </w:r>
    </w:p>
    <w:p w14:paraId="6BAA0A27">
      <w:pPr>
        <w:pStyle w:val="56"/>
        <w:ind w:firstLine="420"/>
      </w:pPr>
      <w:r>
        <w:rPr>
          <w:rFonts w:hint="eastAsia"/>
        </w:rPr>
        <w:t>本文件由中国民族卫生协会归口。</w:t>
      </w:r>
    </w:p>
    <w:p w14:paraId="437DDA40">
      <w:pPr>
        <w:pStyle w:val="56"/>
        <w:ind w:firstLine="420"/>
      </w:pPr>
      <w:r>
        <w:rPr>
          <w:rFonts w:hint="eastAsia"/>
        </w:rPr>
        <w:t>本文件起草单位：中国疾病预防控制中心环境与健康相关产品安全所、北京大学、广东省疾病预防控制中心、北京工匠生物技术有限公司</w:t>
      </w:r>
    </w:p>
    <w:p w14:paraId="2333D47F">
      <w:pPr>
        <w:pStyle w:val="56"/>
        <w:ind w:firstLine="420"/>
      </w:pPr>
      <w:r>
        <w:rPr>
          <w:rFonts w:hint="eastAsia"/>
        </w:rPr>
        <w:t>本文件主要起草人：王先良、李莉、要茂盛、陈秋霞、牛计伟、高苗。</w:t>
      </w:r>
    </w:p>
    <w:p w14:paraId="5A6E2801">
      <w:pPr>
        <w:pStyle w:val="56"/>
        <w:ind w:firstLine="420"/>
      </w:pPr>
    </w:p>
    <w:p w14:paraId="0387102B">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12"/>
    <w:p w14:paraId="7AF82D03">
      <w:pPr>
        <w:spacing w:line="20" w:lineRule="exact"/>
        <w:jc w:val="center"/>
        <w:rPr>
          <w:rFonts w:ascii="黑体" w:hAnsi="黑体" w:eastAsia="黑体"/>
          <w:sz w:val="32"/>
          <w:szCs w:val="32"/>
        </w:rPr>
      </w:pPr>
      <w:bookmarkStart w:id="13" w:name="BookMark4"/>
    </w:p>
    <w:p w14:paraId="4A56D3FE">
      <w:pPr>
        <w:spacing w:line="20" w:lineRule="exact"/>
        <w:jc w:val="center"/>
        <w:rPr>
          <w:rFonts w:ascii="黑体" w:hAnsi="黑体" w:eastAsia="黑体"/>
          <w:sz w:val="32"/>
          <w:szCs w:val="32"/>
        </w:rPr>
      </w:pPr>
    </w:p>
    <w:sdt>
      <w:sdtPr>
        <w:tag w:val="NEW_STAND_NAME"/>
        <w:id w:val="595910757"/>
        <w:lock w:val="sdtLocked"/>
        <w:placeholder>
          <w:docPart w:val="07B8F7E03F914D9F9CB15C58A9D96746"/>
        </w:placeholder>
      </w:sdtPr>
      <w:sdtContent>
        <w:p w14:paraId="4F53A547">
          <w:pPr>
            <w:pStyle w:val="177"/>
            <w:spacing w:before="2" w:beforeLines="1" w:after="680"/>
          </w:pPr>
          <w:bookmarkStart w:id="14" w:name="NEW_STAND_NAME"/>
          <w:r>
            <w:rPr>
              <w:rFonts w:hint="eastAsia"/>
            </w:rPr>
            <w:t>地铁场站室内空气病原体现场智能采样技术指南</w:t>
          </w:r>
        </w:p>
      </w:sdtContent>
    </w:sdt>
    <w:bookmarkEnd w:id="14"/>
    <w:p w14:paraId="7AF7AA84">
      <w:pPr>
        <w:pStyle w:val="104"/>
        <w:spacing w:before="240" w:after="240"/>
      </w:pPr>
      <w:bookmarkStart w:id="15" w:name="_Toc26648465"/>
      <w:bookmarkStart w:id="16" w:name="_Toc24884218"/>
      <w:bookmarkStart w:id="17" w:name="_Toc226122504"/>
      <w:bookmarkStart w:id="18" w:name="_Toc17233333"/>
      <w:bookmarkStart w:id="19" w:name="_Toc24884211"/>
      <w:bookmarkStart w:id="20" w:name="_Toc26986530"/>
      <w:bookmarkStart w:id="21" w:name="_Toc17233325"/>
      <w:bookmarkStart w:id="22" w:name="_Toc97192964"/>
      <w:bookmarkStart w:id="23" w:name="_Toc26986771"/>
      <w:bookmarkStart w:id="24" w:name="_Toc26718930"/>
      <w:r>
        <w:rPr>
          <w:rFonts w:hint="eastAsia"/>
        </w:rPr>
        <w:t>范围</w:t>
      </w:r>
      <w:bookmarkEnd w:id="15"/>
      <w:bookmarkEnd w:id="16"/>
      <w:bookmarkEnd w:id="17"/>
      <w:bookmarkEnd w:id="18"/>
      <w:bookmarkEnd w:id="19"/>
      <w:bookmarkEnd w:id="20"/>
      <w:bookmarkEnd w:id="21"/>
      <w:bookmarkEnd w:id="22"/>
      <w:bookmarkEnd w:id="23"/>
      <w:bookmarkEnd w:id="24"/>
    </w:p>
    <w:p w14:paraId="35755F0D">
      <w:pPr>
        <w:pStyle w:val="56"/>
        <w:ind w:firstLine="420"/>
      </w:pPr>
      <w:bookmarkStart w:id="25" w:name="_Toc17233334"/>
      <w:bookmarkStart w:id="26" w:name="_Toc26648466"/>
      <w:bookmarkStart w:id="27" w:name="_Toc24884219"/>
      <w:bookmarkStart w:id="28" w:name="_Toc17233326"/>
      <w:bookmarkStart w:id="29" w:name="_Toc24884212"/>
      <w:r>
        <w:rPr>
          <w:rFonts w:hint="eastAsia"/>
        </w:rPr>
        <w:t>本文件规定了地铁场站室内空气中病原体的现场智能采样、样本包装运输保存、质量控制和采样记录报告等技术要求。</w:t>
      </w:r>
    </w:p>
    <w:p w14:paraId="00F2E888">
      <w:pPr>
        <w:pStyle w:val="56"/>
        <w:ind w:firstLine="420"/>
      </w:pPr>
      <w:r>
        <w:rPr>
          <w:rFonts w:hint="eastAsia"/>
        </w:rPr>
        <w:t>本文件适用于地铁站厅、站台、通道、设备管理区等封闭或半封闭空间空气中病原体的采样，其他轨道交通场站及类似交通枢纽可参考使用。涉及集中空调通风系统的采样，还应符合相关规范要求。</w:t>
      </w:r>
    </w:p>
    <w:p w14:paraId="06DB053F">
      <w:pPr>
        <w:pStyle w:val="104"/>
        <w:spacing w:before="240" w:after="240"/>
      </w:pPr>
      <w:bookmarkStart w:id="30" w:name="_Toc26986772"/>
      <w:bookmarkStart w:id="31" w:name="_Toc226122505"/>
      <w:bookmarkStart w:id="32" w:name="_Toc26718931"/>
      <w:bookmarkStart w:id="33" w:name="_Toc26986531"/>
      <w:bookmarkStart w:id="34" w:name="_Toc97192965"/>
      <w:r>
        <w:rPr>
          <w:rFonts w:hint="eastAsia"/>
        </w:rPr>
        <w:t>规范性引用文件</w:t>
      </w:r>
      <w:bookmarkEnd w:id="25"/>
      <w:bookmarkEnd w:id="26"/>
      <w:bookmarkEnd w:id="27"/>
      <w:bookmarkEnd w:id="28"/>
      <w:bookmarkEnd w:id="29"/>
      <w:bookmarkEnd w:id="30"/>
      <w:bookmarkEnd w:id="31"/>
      <w:bookmarkEnd w:id="32"/>
      <w:bookmarkEnd w:id="33"/>
      <w:bookmarkEnd w:id="34"/>
    </w:p>
    <w:sdt>
      <w:sdtPr>
        <w:rPr>
          <w:rFonts w:hint="eastAsia"/>
        </w:rPr>
        <w:id w:val="715848253"/>
        <w:placeholder>
          <w:docPart w:val="E8186310742D431B98EEE5B380B9AF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E42C08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E3D44B">
      <w:pPr>
        <w:pStyle w:val="56"/>
        <w:ind w:firstLine="420"/>
      </w:pPr>
      <w:bookmarkStart w:id="35" w:name="OLE_LINK13"/>
      <w:bookmarkStart w:id="36" w:name="OLE_LINK12"/>
      <w:r>
        <w:rPr>
          <w:rFonts w:hint="eastAsia"/>
        </w:rPr>
        <w:t>GB/T 18204.3 公共场所卫生检验方法 第3部分：空气微生物</w:t>
      </w:r>
    </w:p>
    <w:p w14:paraId="6F117F2B">
      <w:pPr>
        <w:pStyle w:val="56"/>
        <w:ind w:firstLine="420"/>
      </w:pPr>
      <w:r>
        <w:rPr>
          <w:rFonts w:hint="eastAsia"/>
        </w:rPr>
        <w:t>GB/T 18204.5 公共场所卫生检验方法 第5部分：集中空调通风系统</w:t>
      </w:r>
    </w:p>
    <w:p w14:paraId="2D626D42">
      <w:pPr>
        <w:pStyle w:val="56"/>
        <w:ind w:firstLine="420"/>
      </w:pPr>
      <w:r>
        <w:rPr>
          <w:rFonts w:hint="eastAsia"/>
        </w:rPr>
        <w:t>G</w:t>
      </w:r>
      <w:r>
        <w:t>B/T 18204.6 公共场所卫生检验方法</w:t>
      </w:r>
      <w:r>
        <w:rPr>
          <w:rFonts w:hint="eastAsia"/>
        </w:rPr>
        <w:t xml:space="preserve"> 第6部分：</w:t>
      </w:r>
      <w:r>
        <w:rPr>
          <w:rFonts w:hint="eastAsia" w:hAnsi="宋体" w:cs="宋体"/>
        </w:rPr>
        <w:t>卫生监测技术规范</w:t>
      </w:r>
      <w:bookmarkEnd w:id="35"/>
      <w:bookmarkEnd w:id="36"/>
    </w:p>
    <w:p w14:paraId="3592F18A">
      <w:pPr>
        <w:pStyle w:val="56"/>
        <w:ind w:firstLine="420"/>
      </w:pPr>
      <w:r>
        <w:t xml:space="preserve">GB 19489 </w:t>
      </w:r>
      <w:r>
        <w:rPr>
          <w:rFonts w:hint="eastAsia"/>
        </w:rPr>
        <w:t>实验室 生物安全通用要求</w:t>
      </w:r>
    </w:p>
    <w:p w14:paraId="49E6A4C0">
      <w:pPr>
        <w:pStyle w:val="56"/>
        <w:ind w:firstLine="420"/>
      </w:pPr>
      <w:r>
        <w:rPr>
          <w:rFonts w:hint="eastAsia"/>
        </w:rPr>
        <w:t>G</w:t>
      </w:r>
      <w:r>
        <w:t xml:space="preserve">B/T 38517 </w:t>
      </w:r>
      <w:r>
        <w:rPr>
          <w:rFonts w:hint="eastAsia"/>
        </w:rPr>
        <w:t>颗粒 生物气溶胶采样和分析 通则</w:t>
      </w:r>
    </w:p>
    <w:p w14:paraId="52FE12C4">
      <w:pPr>
        <w:pStyle w:val="56"/>
        <w:ind w:firstLine="420"/>
      </w:pPr>
      <w:r>
        <w:rPr>
          <w:rFonts w:hint="eastAsia"/>
        </w:rPr>
        <w:t>JJF 1826 空气微生物采样器校准规范</w:t>
      </w:r>
    </w:p>
    <w:p w14:paraId="6490DCC5">
      <w:pPr>
        <w:pStyle w:val="56"/>
        <w:ind w:firstLine="420"/>
      </w:pPr>
      <w:r>
        <w:rPr>
          <w:rFonts w:hint="eastAsia"/>
          <w:szCs w:val="24"/>
        </w:rPr>
        <w:t>JJF 2304 生物气溶胶采样器校准规范</w:t>
      </w:r>
    </w:p>
    <w:p w14:paraId="0CF69AF1">
      <w:pPr>
        <w:pStyle w:val="104"/>
        <w:spacing w:before="240" w:after="240"/>
      </w:pPr>
      <w:bookmarkStart w:id="37" w:name="_Toc97192966"/>
      <w:bookmarkStart w:id="38" w:name="_Toc226122506"/>
      <w:r>
        <w:rPr>
          <w:rFonts w:hint="eastAsia"/>
          <w:szCs w:val="21"/>
        </w:rPr>
        <w:t>术语和定义</w:t>
      </w:r>
      <w:bookmarkEnd w:id="37"/>
      <w:bookmarkEnd w:id="38"/>
    </w:p>
    <w:sdt>
      <w:sdtPr>
        <w:id w:val="-1909835108"/>
        <w:placeholder>
          <w:docPart w:val="64F8614DC1494589A22954534BD657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9120A2">
          <w:pPr>
            <w:pStyle w:val="56"/>
            <w:ind w:firstLine="420"/>
          </w:pPr>
          <w:bookmarkStart w:id="39" w:name="_Toc26986532"/>
          <w:bookmarkEnd w:id="39"/>
          <w:r>
            <w:t>下列术语和定义适用于本文件。</w:t>
          </w:r>
        </w:p>
      </w:sdtContent>
    </w:sdt>
    <w:p w14:paraId="46D7100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空气病原体 airborne pathogens</w:t>
      </w:r>
    </w:p>
    <w:p w14:paraId="6236E52C">
      <w:pPr>
        <w:pStyle w:val="56"/>
        <w:ind w:firstLine="420"/>
      </w:pPr>
      <w:r>
        <w:rPr>
          <w:rFonts w:hint="eastAsia"/>
        </w:rPr>
        <w:t>空气中可造成人或动物感染疾病的微生物(包括细菌、病毒、立克次体、寄生虫、真菌)或微生物重组体(包括杂交体或突变体)。</w:t>
      </w:r>
    </w:p>
    <w:p w14:paraId="0D07191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生物气溶胶 </w:t>
      </w:r>
      <w:r>
        <w:rPr>
          <w:rFonts w:ascii="黑体" w:hAnsi="黑体" w:eastAsia="黑体"/>
        </w:rPr>
        <w:t>bioaerosol</w:t>
      </w:r>
    </w:p>
    <w:p w14:paraId="02E55857">
      <w:pPr>
        <w:pStyle w:val="56"/>
        <w:ind w:firstLine="420"/>
      </w:pPr>
      <w:r>
        <w:rPr>
          <w:rFonts w:hint="eastAsia"/>
        </w:rPr>
        <w:t>含有生物性成分的固体或液体微粒悬浮于气体介质中形成的稳定分散系。</w:t>
      </w:r>
    </w:p>
    <w:p w14:paraId="68F3A1AE">
      <w:pPr>
        <w:pStyle w:val="56"/>
        <w:ind w:firstLine="400"/>
        <w:rPr>
          <w:rFonts w:ascii="仿宋" w:hAnsi="仿宋" w:eastAsia="仿宋" w:cs="仿宋"/>
          <w:sz w:val="20"/>
          <w:szCs w:val="18"/>
        </w:rPr>
      </w:pPr>
      <w:r>
        <w:rPr>
          <w:rFonts w:hint="eastAsia" w:ascii="仿宋" w:hAnsi="仿宋" w:eastAsia="仿宋" w:cs="仿宋"/>
          <w:sz w:val="20"/>
          <w:szCs w:val="18"/>
        </w:rPr>
        <w:t>注：生物性成分包括细菌、病毒、真菌、孢子、毒素等。生物气溶胶粒子粒径在0.01 μm</w:t>
      </w:r>
      <w:r>
        <w:rPr>
          <w:rFonts w:ascii="Times New Roman" w:eastAsia="仿宋"/>
          <w:sz w:val="20"/>
          <w:szCs w:val="18"/>
        </w:rPr>
        <w:t>~</w:t>
      </w:r>
      <w:r>
        <w:rPr>
          <w:rFonts w:hint="eastAsia" w:ascii="仿宋" w:hAnsi="仿宋" w:eastAsia="仿宋" w:cs="仿宋"/>
          <w:sz w:val="20"/>
          <w:szCs w:val="18"/>
        </w:rPr>
        <w:t>100 μm之间。</w:t>
      </w:r>
    </w:p>
    <w:p w14:paraId="707FE0EB">
      <w:pPr>
        <w:pStyle w:val="56"/>
        <w:ind w:firstLine="400"/>
        <w:rPr>
          <w:rFonts w:ascii="仿宋" w:hAnsi="仿宋" w:eastAsia="仿宋" w:cs="仿宋"/>
          <w:sz w:val="20"/>
          <w:szCs w:val="18"/>
        </w:rPr>
      </w:pPr>
      <w:r>
        <w:rPr>
          <w:rFonts w:hint="eastAsia" w:ascii="仿宋" w:hAnsi="仿宋" w:eastAsia="仿宋" w:cs="仿宋"/>
          <w:sz w:val="20"/>
          <w:szCs w:val="18"/>
        </w:rPr>
        <w:t>[来源：GB/T 38517-2020,3.7]</w:t>
      </w:r>
    </w:p>
    <w:p w14:paraId="0FA1772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智能采样 </w:t>
      </w:r>
      <w:r>
        <w:rPr>
          <w:rFonts w:ascii="黑体" w:hAnsi="黑体" w:eastAsia="黑体"/>
        </w:rPr>
        <w:t>intelligent sampling</w:t>
      </w:r>
    </w:p>
    <w:p w14:paraId="7390B646">
      <w:pPr>
        <w:pStyle w:val="56"/>
        <w:ind w:firstLine="420"/>
      </w:pPr>
      <w:r>
        <w:rPr>
          <w:rFonts w:hint="eastAsia"/>
        </w:rPr>
        <w:t>智能采样指可实现自动化运行、实时环境感知、采样流量自动校准、GPS定位、采样数据自动记录与无线传输等功能的采样系统，鼓励物联网技术集成。</w:t>
      </w:r>
    </w:p>
    <w:p w14:paraId="6071234C">
      <w:pPr>
        <w:pStyle w:val="223"/>
        <w:ind w:left="420" w:hanging="420" w:hangingChars="200"/>
        <w:rPr>
          <w:rFonts w:ascii="黑体" w:hAnsi="黑体" w:eastAsia="黑体"/>
        </w:rPr>
      </w:pPr>
      <w:r>
        <w:rPr>
          <w:rFonts w:ascii="黑体" w:hAnsi="黑体" w:eastAsia="黑体"/>
        </w:rPr>
        <w:br w:type="textWrapping"/>
      </w:r>
      <w:bookmarkStart w:id="40" w:name="OLE_LINK7"/>
      <w:bookmarkStart w:id="41" w:name="OLE_LINK9"/>
      <w:bookmarkStart w:id="42" w:name="OLE_LINK8"/>
      <w:r>
        <w:rPr>
          <w:rFonts w:ascii="黑体" w:hAnsi="黑体" w:eastAsia="黑体"/>
        </w:rPr>
        <w:t>静电</w:t>
      </w:r>
      <w:bookmarkEnd w:id="40"/>
      <w:r>
        <w:rPr>
          <w:rFonts w:ascii="黑体" w:hAnsi="黑体" w:eastAsia="黑体"/>
        </w:rPr>
        <w:t>吸附采样</w:t>
      </w:r>
      <w:bookmarkEnd w:id="41"/>
      <w:bookmarkEnd w:id="42"/>
      <w:r>
        <w:rPr>
          <w:rFonts w:hint="eastAsia" w:ascii="黑体" w:hAnsi="黑体" w:eastAsia="黑体"/>
        </w:rPr>
        <w:t xml:space="preserve"> </w:t>
      </w:r>
      <w:r>
        <w:rPr>
          <w:rFonts w:ascii="黑体" w:hAnsi="黑体" w:eastAsia="黑体"/>
        </w:rPr>
        <w:t>electrostatic adsorption sampling</w:t>
      </w:r>
    </w:p>
    <w:p w14:paraId="4FB5EAFE">
      <w:pPr>
        <w:pStyle w:val="56"/>
        <w:ind w:firstLine="420"/>
      </w:pPr>
      <w:r>
        <w:rPr>
          <w:rFonts w:hint="eastAsia"/>
        </w:rPr>
        <w:t>使生物气溶胶粒子带电，并在高压静电场作用下，将其吸附收集到特定介质（如滤膜、培养皿、液体）上的采样方法。该方法通常具有较高的微生物捕获效率。</w:t>
      </w:r>
    </w:p>
    <w:p w14:paraId="0CE62F9A">
      <w:pPr>
        <w:pStyle w:val="104"/>
        <w:spacing w:before="240" w:after="240"/>
      </w:pPr>
      <w:bookmarkStart w:id="43" w:name="_Toc226122507"/>
      <w:r>
        <w:t>智能采样系统构成</w:t>
      </w:r>
      <w:bookmarkEnd w:id="43"/>
    </w:p>
    <w:p w14:paraId="74E8C52B">
      <w:pPr>
        <w:pStyle w:val="105"/>
        <w:spacing w:before="120" w:after="120"/>
      </w:pPr>
      <w:r>
        <w:rPr>
          <w:rFonts w:hint="eastAsia"/>
        </w:rPr>
        <w:t>核心采样设备</w:t>
      </w:r>
    </w:p>
    <w:p w14:paraId="4DEB0959">
      <w:pPr>
        <w:pStyle w:val="56"/>
        <w:ind w:firstLine="420"/>
      </w:pPr>
      <w:bookmarkStart w:id="44" w:name="OLE_LINK1"/>
      <w:r>
        <w:t>静电吸附生物气溶胶采样器</w:t>
      </w:r>
      <w:bookmarkEnd w:id="44"/>
      <w:r>
        <w:t>（以下简称静电场采样器）：</w:t>
      </w:r>
      <w:r>
        <w:rPr>
          <w:rFonts w:hint="eastAsia"/>
        </w:rPr>
        <w:t>通过内置泵产生负压吸入空气，并在采样通道内建立高压静电场，使带电的生物气溶胶粒子在静电力作用下沉积到采集介质上的</w:t>
      </w:r>
      <w:r>
        <w:t>设备。</w:t>
      </w:r>
    </w:p>
    <w:p w14:paraId="70DADDE8">
      <w:pPr>
        <w:pStyle w:val="132"/>
      </w:pPr>
      <w:r>
        <w:rPr>
          <w:rFonts w:hint="eastAsia"/>
        </w:rPr>
        <w:t>采样流量：通常</w:t>
      </w:r>
      <w:r>
        <w:t>不低于5L/min</w:t>
      </w:r>
      <w:r>
        <w:rPr>
          <w:rFonts w:hint="eastAsia"/>
        </w:rPr>
        <w:t>。</w:t>
      </w:r>
    </w:p>
    <w:p w14:paraId="43D4AB72">
      <w:pPr>
        <w:pStyle w:val="132"/>
      </w:pPr>
      <w:r>
        <w:rPr>
          <w:rFonts w:hint="eastAsia"/>
        </w:rPr>
        <w:t>检测灵敏度：通常不低于</w:t>
      </w:r>
      <w:r>
        <w:t>0.1 CFU/m</w:t>
      </w:r>
      <w:r>
        <w:rPr>
          <w:vertAlign w:val="superscript"/>
        </w:rPr>
        <w:t>3</w:t>
      </w:r>
      <w:r>
        <w:rPr>
          <w:rFonts w:hint="eastAsia"/>
        </w:rPr>
        <w:t>。</w:t>
      </w:r>
    </w:p>
    <w:p w14:paraId="58AE7EC1">
      <w:pPr>
        <w:pStyle w:val="132"/>
      </w:pPr>
      <w:r>
        <w:rPr>
          <w:rFonts w:hint="eastAsia"/>
        </w:rPr>
        <w:t>设备运行噪声：不高于70 dB(A)。</w:t>
      </w:r>
    </w:p>
    <w:p w14:paraId="31A06330">
      <w:pPr>
        <w:pStyle w:val="132"/>
      </w:pPr>
      <w:r>
        <w:rPr>
          <w:rFonts w:hint="eastAsia"/>
        </w:rPr>
        <w:t>采集介质：可根据后续分析需要，选用无菌滤膜、固体培养皿或液体培养液等</w:t>
      </w:r>
      <w:r>
        <w:t>。</w:t>
      </w:r>
    </w:p>
    <w:p w14:paraId="16273005">
      <w:pPr>
        <w:pStyle w:val="105"/>
        <w:spacing w:before="120" w:after="120"/>
      </w:pPr>
      <w:r>
        <w:rPr>
          <w:rFonts w:hint="eastAsia"/>
        </w:rPr>
        <w:t>辅助传感单元</w:t>
      </w:r>
    </w:p>
    <w:p w14:paraId="4FC83088">
      <w:pPr>
        <w:pStyle w:val="56"/>
        <w:ind w:firstLine="420"/>
      </w:pPr>
      <w:r>
        <w:rPr>
          <w:rFonts w:hint="eastAsia"/>
        </w:rPr>
        <w:t>建议集成温度、相对湿度、风速、噪声、颗粒物（PM</w:t>
      </w:r>
      <w:r>
        <w:rPr>
          <w:rFonts w:hint="eastAsia"/>
          <w:vertAlign w:val="subscript"/>
        </w:rPr>
        <w:t>2.5</w:t>
      </w:r>
      <w:r>
        <w:rPr>
          <w:rFonts w:hint="eastAsia"/>
        </w:rPr>
        <w:t>/PM</w:t>
      </w:r>
      <w:r>
        <w:rPr>
          <w:rFonts w:hint="eastAsia"/>
          <w:vertAlign w:val="subscript"/>
        </w:rPr>
        <w:t>10</w:t>
      </w:r>
      <w:r>
        <w:rPr>
          <w:rFonts w:hint="eastAsia"/>
        </w:rPr>
        <w:t>）、VOCs（可选）等传感器，用于同步监测记录地铁环境复合污染物参数。设备应能实时显示并记录电场电压、采样流量、运行时间等参数</w:t>
      </w:r>
      <w:r>
        <w:t>。</w:t>
      </w:r>
    </w:p>
    <w:p w14:paraId="1B682983">
      <w:pPr>
        <w:pStyle w:val="105"/>
        <w:spacing w:before="120" w:after="120"/>
      </w:pPr>
      <w:r>
        <w:rPr>
          <w:rFonts w:hint="eastAsia"/>
        </w:rPr>
        <w:t>数据管理与传输单元</w:t>
      </w:r>
    </w:p>
    <w:p w14:paraId="0B36DA2C">
      <w:pPr>
        <w:pStyle w:val="56"/>
        <w:ind w:firstLine="420"/>
      </w:pPr>
      <w:r>
        <w:rPr>
          <w:rFonts w:hint="eastAsia"/>
        </w:rPr>
        <w:t>应具备嵌入式操作系统，支持无线网络（如4G/5G/WIFI）数据传输，可将采样数据、环境参数及地理位置信息实时上传至指定监测平台，支持音视频自动采集、远程监控、任务设置与数据管理等智能化功能。</w:t>
      </w:r>
    </w:p>
    <w:p w14:paraId="0A34DF04">
      <w:pPr>
        <w:pStyle w:val="105"/>
        <w:spacing w:before="120" w:after="120"/>
      </w:pPr>
      <w:r>
        <w:rPr>
          <w:rFonts w:hint="eastAsia"/>
        </w:rPr>
        <w:t>采样耗材</w:t>
      </w:r>
    </w:p>
    <w:p w14:paraId="2ADC4237">
      <w:pPr>
        <w:pStyle w:val="56"/>
        <w:ind w:firstLine="420"/>
      </w:pPr>
      <w:r>
        <w:rPr>
          <w:rFonts w:hint="eastAsia"/>
        </w:rPr>
        <w:t>包括一次性无菌滤膜、培养皿、专用采集/培养液（应符合相关病毒或微生物保存要求，如维持病原体核酸或活性稳定）等。</w:t>
      </w:r>
    </w:p>
    <w:p w14:paraId="72100BCB">
      <w:pPr>
        <w:pStyle w:val="104"/>
        <w:spacing w:before="240" w:after="240"/>
      </w:pPr>
      <w:bookmarkStart w:id="45" w:name="_Toc226122508"/>
      <w:r>
        <w:rPr>
          <w:rFonts w:hint="eastAsia"/>
        </w:rPr>
        <w:t>采样前的准备</w:t>
      </w:r>
      <w:bookmarkEnd w:id="45"/>
    </w:p>
    <w:p w14:paraId="6F99F945">
      <w:pPr>
        <w:pStyle w:val="105"/>
        <w:spacing w:before="120" w:after="120"/>
      </w:pPr>
      <w:r>
        <w:rPr>
          <w:rFonts w:hint="eastAsia"/>
        </w:rPr>
        <w:t>现场调查与方案制定</w:t>
      </w:r>
    </w:p>
    <w:p w14:paraId="21DCE644">
      <w:pPr>
        <w:pStyle w:val="56"/>
        <w:ind w:firstLine="420"/>
      </w:pPr>
      <w:r>
        <w:rPr>
          <w:rFonts w:hint="eastAsia"/>
        </w:rPr>
        <w:t>应调查地铁场站的建筑面积、空间结构、功能分区、客流高峰时段、通风系统类型与运行模式（特别是集中空调通风系统）。根据调查结果与监测目的，制定采样计划，明确重点区域（如进风口、闸机、候车区、卫生间等）的采样布点、时间与频次。</w:t>
      </w:r>
    </w:p>
    <w:p w14:paraId="27A1C259">
      <w:pPr>
        <w:pStyle w:val="105"/>
        <w:spacing w:before="120" w:after="120"/>
      </w:pPr>
      <w:r>
        <w:rPr>
          <w:rFonts w:hint="eastAsia"/>
        </w:rPr>
        <w:t>仪器设备准备与校准</w:t>
      </w:r>
    </w:p>
    <w:p w14:paraId="4A44FC64">
      <w:pPr>
        <w:pStyle w:val="56"/>
        <w:ind w:firstLine="420"/>
      </w:pPr>
      <w:r>
        <w:t>依据现场调查方案准备静电场采样设备</w:t>
      </w:r>
      <w:r>
        <w:rPr>
          <w:rFonts w:hint="eastAsia"/>
        </w:rPr>
        <w:t>。每次采样前或按计划，应依据JJF 1826或使</w:t>
      </w:r>
      <w:r>
        <w:t>用</w:t>
      </w:r>
      <w:r>
        <w:rPr>
          <w:rFonts w:hint="eastAsia"/>
        </w:rPr>
        <w:t>经</w:t>
      </w:r>
      <w:r>
        <w:t>实验室校</w:t>
      </w:r>
      <w:r>
        <w:rPr>
          <w:rFonts w:hint="eastAsia"/>
        </w:rPr>
        <w:t>准</w:t>
      </w:r>
      <w:r>
        <w:t>的流量计对采样</w:t>
      </w:r>
      <w:r>
        <w:rPr>
          <w:rFonts w:hint="eastAsia"/>
        </w:rPr>
        <w:t>器</w:t>
      </w:r>
      <w:r>
        <w:t>流量进行校准，</w:t>
      </w:r>
      <w:r>
        <w:rPr>
          <w:rFonts w:hint="eastAsia"/>
        </w:rPr>
        <w:t>其示值误差应不超过±5%。辅助传感器应按其说明书要求进行校准或验证。</w:t>
      </w:r>
    </w:p>
    <w:p w14:paraId="3F0024F1">
      <w:pPr>
        <w:pStyle w:val="56"/>
        <w:ind w:firstLine="420"/>
      </w:pPr>
      <w:r>
        <w:rPr>
          <w:rFonts w:hint="eastAsia"/>
        </w:rPr>
        <w:t>采样耗材应在无菌条件下准备，培养基需经121℃高压蒸汽灭菌15min后使用。</w:t>
      </w:r>
    </w:p>
    <w:p w14:paraId="5F9E64FC">
      <w:pPr>
        <w:pStyle w:val="105"/>
        <w:spacing w:before="120" w:after="120"/>
      </w:pPr>
      <w:r>
        <w:rPr>
          <w:rFonts w:hint="eastAsia"/>
        </w:rPr>
        <w:t>人员培训与防护</w:t>
      </w:r>
    </w:p>
    <w:p w14:paraId="2F32BC49">
      <w:pPr>
        <w:pStyle w:val="56"/>
        <w:ind w:firstLine="420"/>
      </w:pPr>
      <w:r>
        <w:rPr>
          <w:rFonts w:hint="eastAsia"/>
        </w:rPr>
        <w:t>采样人员应接受生物安全、采样技术及设备操作培训，熟练掌握智能采样系统的操作流程、个人防护用品的使用以及应急处理措施。现场操作时个人防护及废弃物处置应符合</w:t>
      </w:r>
      <w:r>
        <w:t>GB 19489</w:t>
      </w:r>
      <w:r>
        <w:rPr>
          <w:rFonts w:hint="eastAsia"/>
        </w:rPr>
        <w:t>的要求</w:t>
      </w:r>
      <w:r>
        <w:t>。</w:t>
      </w:r>
    </w:p>
    <w:p w14:paraId="6771AE61">
      <w:pPr>
        <w:pStyle w:val="104"/>
        <w:spacing w:before="240" w:after="240"/>
      </w:pPr>
      <w:bookmarkStart w:id="46" w:name="_Toc226122509"/>
      <w:r>
        <w:rPr>
          <w:rFonts w:hint="eastAsia"/>
        </w:rPr>
        <w:t>采样点布设</w:t>
      </w:r>
      <w:bookmarkEnd w:id="46"/>
    </w:p>
    <w:p w14:paraId="0E3D913D">
      <w:pPr>
        <w:pStyle w:val="105"/>
        <w:spacing w:before="120" w:after="120"/>
      </w:pPr>
      <w:r>
        <w:t>布点原则</w:t>
      </w:r>
    </w:p>
    <w:p w14:paraId="72D15AA6">
      <w:pPr>
        <w:pStyle w:val="56"/>
        <w:ind w:firstLine="420"/>
      </w:pPr>
      <w:r>
        <w:rPr>
          <w:rFonts w:hint="eastAsia"/>
        </w:rPr>
        <w:t>应根据区域功能、人流密度、空气流通状况确定采样点。应重点覆盖进/排风口附近、自助售票/检票区、站台候车区域、公共卫生间、设备区出入口等关键位置。</w:t>
      </w:r>
    </w:p>
    <w:p w14:paraId="05A44880">
      <w:pPr>
        <w:pStyle w:val="105"/>
        <w:spacing w:before="120" w:after="120"/>
      </w:pPr>
      <w:r>
        <w:rPr>
          <w:rFonts w:hint="eastAsia"/>
        </w:rPr>
        <w:t>布点数量</w:t>
      </w:r>
    </w:p>
    <w:p w14:paraId="49E21A61">
      <w:pPr>
        <w:pStyle w:val="56"/>
        <w:ind w:firstLine="420"/>
      </w:pPr>
      <w:r>
        <w:rPr>
          <w:rFonts w:hint="eastAsia"/>
        </w:rPr>
        <w:t>站厅、站台等公共区域，可参照GB/T 18204.6的规定按每1000㎡设置3个采样点为基础，并根据人流密度、结构复杂性酌情增加。集中空调通风系统的采样点布设应按GB/T 18204.5执行。</w:t>
      </w:r>
    </w:p>
    <w:p w14:paraId="14BED466">
      <w:pPr>
        <w:pStyle w:val="105"/>
        <w:spacing w:before="120" w:after="120"/>
      </w:pPr>
      <w:r>
        <w:rPr>
          <w:rFonts w:hint="eastAsia"/>
        </w:rPr>
        <w:t>采样点位置与高度</w:t>
      </w:r>
    </w:p>
    <w:p w14:paraId="0DA12DE4">
      <w:pPr>
        <w:pStyle w:val="56"/>
        <w:ind w:firstLine="420"/>
      </w:pPr>
      <w:r>
        <w:rPr>
          <w:rFonts w:hint="eastAsia"/>
        </w:rPr>
        <w:t>采样高度宜设在人员呼吸带高度，距地面0.8m</w:t>
      </w:r>
      <w:r>
        <w:rPr>
          <w:rFonts w:ascii="Times New Roman"/>
        </w:rPr>
        <w:t>~</w:t>
      </w:r>
      <w:r>
        <w:rPr>
          <w:rFonts w:hint="eastAsia"/>
        </w:rPr>
        <w:t>1.5m。应避开通风口、通风道等气流直接冲击的位置。</w:t>
      </w:r>
    </w:p>
    <w:p w14:paraId="06D94A9F">
      <w:pPr>
        <w:pStyle w:val="104"/>
        <w:spacing w:before="240" w:after="240"/>
      </w:pPr>
      <w:bookmarkStart w:id="47" w:name="_Toc226122510"/>
      <w:r>
        <w:t>采样方法与步骤</w:t>
      </w:r>
      <w:bookmarkEnd w:id="47"/>
    </w:p>
    <w:p w14:paraId="060E0799">
      <w:pPr>
        <w:pStyle w:val="105"/>
        <w:spacing w:before="120" w:after="120"/>
      </w:pPr>
      <w:r>
        <w:rPr>
          <w:rFonts w:hint="eastAsia"/>
        </w:rPr>
        <w:t>采样环境工况</w:t>
      </w:r>
    </w:p>
    <w:p w14:paraId="6803116A">
      <w:pPr>
        <w:pStyle w:val="56"/>
        <w:ind w:firstLine="420"/>
      </w:pPr>
      <w:r>
        <w:t>地铁站台、站厅等</w:t>
      </w:r>
      <w:r>
        <w:rPr>
          <w:rFonts w:hint="eastAsia"/>
        </w:rPr>
        <w:t>应在车站正常运营时段、保持原有通风与环境状态下进行采样，以反映实际暴露水平。对于设备区</w:t>
      </w:r>
      <w:r>
        <w:t>、办公室等</w:t>
      </w:r>
      <w:r>
        <w:rPr>
          <w:rFonts w:hint="eastAsia"/>
        </w:rPr>
        <w:t>可封闭空间，可在</w:t>
      </w:r>
      <w:r>
        <w:t>关闭门窗</w:t>
      </w:r>
      <w:r>
        <w:rPr>
          <w:rFonts w:hint="eastAsia"/>
        </w:rPr>
        <w:t>1</w:t>
      </w:r>
      <w:r>
        <w:t>5min</w:t>
      </w:r>
      <w:r>
        <w:rPr>
          <w:rFonts w:ascii="Times New Roman"/>
        </w:rPr>
        <w:t>~</w:t>
      </w:r>
      <w:r>
        <w:t>30min</w:t>
      </w:r>
      <w:r>
        <w:rPr>
          <w:rFonts w:hint="eastAsia"/>
        </w:rPr>
        <w:t>后采样</w:t>
      </w:r>
      <w:r>
        <w:t>。</w:t>
      </w:r>
    </w:p>
    <w:p w14:paraId="4B33BAEB">
      <w:pPr>
        <w:pStyle w:val="105"/>
        <w:spacing w:before="120" w:after="120"/>
      </w:pPr>
      <w:r>
        <w:rPr>
          <w:rFonts w:hint="eastAsia"/>
        </w:rPr>
        <w:t>采样参数设置</w:t>
      </w:r>
    </w:p>
    <w:p w14:paraId="12F6BCCC">
      <w:pPr>
        <w:pStyle w:val="56"/>
        <w:ind w:firstLine="420"/>
      </w:pPr>
      <w:r>
        <w:rPr>
          <w:rFonts w:hint="eastAsia"/>
        </w:rPr>
        <w:t>在无菌操作前提下，根据所选采集介质设置合适的采样流量（通常</w:t>
      </w:r>
      <w:r>
        <w:t>5</w:t>
      </w:r>
      <w:r>
        <w:rPr>
          <w:rFonts w:hint="eastAsia"/>
        </w:rPr>
        <w:t>L/min）和时间（5min</w:t>
      </w:r>
      <w:r>
        <w:rPr>
          <w:rFonts w:ascii="Times New Roman"/>
        </w:rPr>
        <w:t>~</w:t>
      </w:r>
      <w:r>
        <w:rPr>
          <w:rFonts w:hint="eastAsia"/>
        </w:rPr>
        <w:t>15min）。启动采样时，</w:t>
      </w:r>
      <w:bookmarkStart w:id="48" w:name="OLE_LINK3"/>
      <w:bookmarkStart w:id="49" w:name="OLE_LINK2"/>
      <w:r>
        <w:t>智能传感</w:t>
      </w:r>
      <w:r>
        <w:rPr>
          <w:rFonts w:hint="eastAsia"/>
        </w:rPr>
        <w:t>与</w:t>
      </w:r>
      <w:r>
        <w:t>数据传输单元应同步</w:t>
      </w:r>
      <w:r>
        <w:rPr>
          <w:rFonts w:hint="eastAsia"/>
        </w:rPr>
        <w:t>工作</w:t>
      </w:r>
      <w:r>
        <w:t>。当人员无法进</w:t>
      </w:r>
      <w:r>
        <w:rPr>
          <w:rFonts w:hint="eastAsia"/>
        </w:rPr>
        <w:t>入</w:t>
      </w:r>
      <w:r>
        <w:t>现场，</w:t>
      </w:r>
      <w:r>
        <w:rPr>
          <w:rFonts w:hint="eastAsia"/>
        </w:rPr>
        <w:t>支持远程</w:t>
      </w:r>
      <w:r>
        <w:t>参数设置</w:t>
      </w:r>
      <w:r>
        <w:rPr>
          <w:rFonts w:hint="eastAsia"/>
        </w:rPr>
        <w:t>与启动</w:t>
      </w:r>
      <w:r>
        <w:t>。</w:t>
      </w:r>
    </w:p>
    <w:bookmarkEnd w:id="48"/>
    <w:bookmarkEnd w:id="49"/>
    <w:p w14:paraId="045F1CD8">
      <w:pPr>
        <w:pStyle w:val="105"/>
        <w:spacing w:before="120" w:after="120"/>
      </w:pPr>
      <w:r>
        <w:rPr>
          <w:rFonts w:hint="eastAsia"/>
        </w:rPr>
        <w:t>采样操作流程</w:t>
      </w:r>
    </w:p>
    <w:p w14:paraId="717D67A7">
      <w:pPr>
        <w:pStyle w:val="109"/>
        <w:numPr>
          <w:ilvl w:val="1"/>
          <w:numId w:val="32"/>
        </w:numPr>
      </w:pPr>
      <w:r>
        <w:rPr>
          <w:rFonts w:hint="eastAsia"/>
        </w:rPr>
        <w:t>在设备终端创建或选择采样任务，录入点位信息。</w:t>
      </w:r>
    </w:p>
    <w:p w14:paraId="3FFE5480">
      <w:pPr>
        <w:pStyle w:val="109"/>
      </w:pPr>
      <w:r>
        <w:rPr>
          <w:rFonts w:hint="eastAsia"/>
        </w:rPr>
        <w:t>安装</w:t>
      </w:r>
      <w:bookmarkStart w:id="50" w:name="OLE_LINK4"/>
      <w:r>
        <w:rPr>
          <w:rFonts w:hint="eastAsia"/>
        </w:rPr>
        <w:t>指定的无菌采集介质（如滤膜、培养皿或采样瓶）</w:t>
      </w:r>
      <w:bookmarkEnd w:id="50"/>
      <w:r>
        <w:rPr>
          <w:rFonts w:hint="eastAsia"/>
        </w:rPr>
        <w:t>，确保气路密封。</w:t>
      </w:r>
    </w:p>
    <w:p w14:paraId="00FA6E16">
      <w:pPr>
        <w:pStyle w:val="109"/>
      </w:pPr>
      <w:r>
        <w:rPr>
          <w:rFonts w:hint="eastAsia"/>
        </w:rPr>
        <w:t>设置采样流量、时间等参数，启动自动采样程序。系统自动记录开始时间、初始流量和实时环境数据。若需无人操作，可在放置采集介质后，远程进行采集控制。</w:t>
      </w:r>
    </w:p>
    <w:p w14:paraId="0FE1D6D2">
      <w:pPr>
        <w:pStyle w:val="109"/>
      </w:pPr>
      <w:r>
        <w:rPr>
          <w:rFonts w:hint="eastAsia"/>
        </w:rPr>
        <w:t>采样结束后，设备自动停止并记录数据。小心取下采集介质，做好唯一标识。</w:t>
      </w:r>
    </w:p>
    <w:p w14:paraId="62A77C6F">
      <w:pPr>
        <w:pStyle w:val="109"/>
      </w:pPr>
      <w:r>
        <w:rPr>
          <w:rFonts w:hint="eastAsia"/>
        </w:rPr>
        <w:t>使用消毒湿巾或7</w:t>
      </w:r>
      <w:r>
        <w:t>5%酒精</w:t>
      </w:r>
      <w:r>
        <w:rPr>
          <w:rFonts w:hint="eastAsia"/>
        </w:rPr>
        <w:t>棉片对设备接触表面进行擦拭消毒。</w:t>
      </w:r>
    </w:p>
    <w:p w14:paraId="65B59EF1">
      <w:pPr>
        <w:pStyle w:val="105"/>
        <w:spacing w:before="120" w:after="120"/>
      </w:pPr>
      <w:r>
        <w:rPr>
          <w:rFonts w:hint="eastAsia"/>
        </w:rPr>
        <w:t>现场质量控制样品</w:t>
      </w:r>
    </w:p>
    <w:p w14:paraId="705EDC42">
      <w:pPr>
        <w:pStyle w:val="56"/>
        <w:ind w:firstLine="420"/>
      </w:pPr>
      <w:r>
        <w:rPr>
          <w:rFonts w:hint="eastAsia"/>
        </w:rPr>
        <w:t>每批次采样应至少设置1个现场空白样本（携带未开封采集介质至现场并随行）和1个运输空白样本，用于过程污染控制。</w:t>
      </w:r>
    </w:p>
    <w:p w14:paraId="0823FDD5">
      <w:pPr>
        <w:pStyle w:val="104"/>
        <w:spacing w:before="240" w:after="240"/>
      </w:pPr>
      <w:bookmarkStart w:id="51" w:name="_Toc226122511"/>
      <w:r>
        <w:rPr>
          <w:rFonts w:hint="eastAsia"/>
        </w:rPr>
        <w:t>样品运输与保存</w:t>
      </w:r>
      <w:bookmarkEnd w:id="51"/>
    </w:p>
    <w:p w14:paraId="3F0E5D68">
      <w:pPr>
        <w:pStyle w:val="56"/>
        <w:ind w:firstLine="420"/>
      </w:pPr>
      <w:r>
        <w:rPr>
          <w:rFonts w:hint="eastAsia"/>
        </w:rPr>
        <w:t>采样后，应立即将采集介质（如滤膜、培养皿或采样瓶）置于4℃</w:t>
      </w:r>
      <w:r>
        <w:rPr>
          <w:rFonts w:ascii="Times New Roman"/>
        </w:rPr>
        <w:t>~</w:t>
      </w:r>
      <w:r>
        <w:rPr>
          <w:rFonts w:hint="eastAsia" w:ascii="Times New Roman"/>
        </w:rPr>
        <w:t>8</w:t>
      </w:r>
      <w:r>
        <w:rPr>
          <w:rFonts w:hint="eastAsia"/>
        </w:rPr>
        <w:t>℃的环境内，并在4h内送达实验室进行培养或检测。若需延时检测，滤膜等样本应在-70℃或以下温度保存，避免反复冻融。非培养样本也应尽快处理。</w:t>
      </w:r>
    </w:p>
    <w:p w14:paraId="0E2DCE0F">
      <w:pPr>
        <w:pStyle w:val="104"/>
        <w:spacing w:before="240" w:after="240"/>
      </w:pPr>
      <w:bookmarkStart w:id="52" w:name="_Toc226122512"/>
      <w:r>
        <w:rPr>
          <w:rFonts w:hint="eastAsia"/>
        </w:rPr>
        <w:t>质量控制</w:t>
      </w:r>
      <w:bookmarkEnd w:id="52"/>
    </w:p>
    <w:p w14:paraId="724DA171">
      <w:pPr>
        <w:pStyle w:val="105"/>
        <w:spacing w:before="120" w:after="120"/>
      </w:pPr>
      <w:r>
        <w:rPr>
          <w:rFonts w:hint="eastAsia"/>
        </w:rPr>
        <w:t>仪器校准与适应性维护</w:t>
      </w:r>
    </w:p>
    <w:p w14:paraId="43C33935">
      <w:pPr>
        <w:pStyle w:val="56"/>
        <w:ind w:firstLine="420"/>
      </w:pPr>
      <w:r>
        <w:rPr>
          <w:rFonts w:hint="eastAsia"/>
        </w:rPr>
        <w:t>依据JJF 1826定期对采样器的采样流量计进行校准。在地铁高粉尘、高湿度的复杂环境中，建议缩短流量校准周期至6个月。对温度、相对湿度、颗粒物、VOCs等传感器，需按更频繁的周期进行零点与量程检查，确保其在特殊环境下的数据可靠性。</w:t>
      </w:r>
    </w:p>
    <w:p w14:paraId="1E1113F7">
      <w:pPr>
        <w:pStyle w:val="105"/>
        <w:spacing w:before="120" w:after="120"/>
      </w:pPr>
      <w:r>
        <w:rPr>
          <w:rFonts w:hint="eastAsia"/>
        </w:rPr>
        <w:t>采样过程质量控制</w:t>
      </w:r>
    </w:p>
    <w:p w14:paraId="7398005B">
      <w:pPr>
        <w:pStyle w:val="56"/>
        <w:ind w:firstLine="420"/>
      </w:pPr>
      <w:r>
        <w:rPr>
          <w:rFonts w:hint="eastAsia"/>
        </w:rPr>
        <w:t>采样时，必须记录并确认采样点所属区域的通风系统（特别是集中空调通风系统）的运行状态（启/停、新风比例）。若涉及通风系统送风口的采样，其方法应符合GB/T 18204.5的相关要求。采样流量核查同9.1。</w:t>
      </w:r>
    </w:p>
    <w:p w14:paraId="12E2475A">
      <w:pPr>
        <w:pStyle w:val="105"/>
        <w:spacing w:before="120" w:after="120"/>
      </w:pPr>
      <w:r>
        <w:rPr>
          <w:rFonts w:hint="eastAsia"/>
        </w:rPr>
        <w:t>环境代表性控制</w:t>
      </w:r>
    </w:p>
    <w:p w14:paraId="7B82C68B">
      <w:pPr>
        <w:pStyle w:val="56"/>
        <w:ind w:firstLine="420"/>
      </w:pPr>
      <w:r>
        <w:rPr>
          <w:rFonts w:hint="eastAsia"/>
        </w:rPr>
        <w:t>采样应覆盖典型运营时段（如早高峰、晚高峰、平峰期），以评估不同客流强度下的环境暴露风险。报告应明确标注采样所属的运营时段。</w:t>
      </w:r>
    </w:p>
    <w:p w14:paraId="515284E3">
      <w:pPr>
        <w:pStyle w:val="104"/>
        <w:spacing w:before="240" w:after="240"/>
      </w:pPr>
      <w:bookmarkStart w:id="53" w:name="_Toc226122513"/>
      <w:r>
        <w:rPr>
          <w:rFonts w:hint="eastAsia"/>
        </w:rPr>
        <w:t>采样记录与报告</w:t>
      </w:r>
      <w:bookmarkEnd w:id="53"/>
    </w:p>
    <w:p w14:paraId="27F93ED5">
      <w:pPr>
        <w:pStyle w:val="105"/>
        <w:spacing w:before="120" w:after="120"/>
      </w:pPr>
      <w:r>
        <w:rPr>
          <w:rFonts w:hint="eastAsia"/>
        </w:rPr>
        <w:t>采样记录内容</w:t>
      </w:r>
    </w:p>
    <w:p w14:paraId="4445B83F">
      <w:pPr>
        <w:pStyle w:val="56"/>
        <w:ind w:firstLine="420"/>
      </w:pPr>
      <w:r>
        <w:rPr>
          <w:rFonts w:hint="eastAsia"/>
        </w:rPr>
        <w:t>除记录采样日期与时间、采样地点、样本编号、采样器编号、采样流量、采样体积等基本信息，还宜包括具体功能分区、采样时的实时客流密度等级（如拥挤、适中、稀疏）、采样期间活动干扰情况、列车到发频率、采样点邻近通风口运行状态等。实时环境感知数据可包含温度、相对湿度、风速、气压、颗粒物浓度等。记录表格可参考G</w:t>
      </w:r>
      <w:r>
        <w:t>B/T 38517 资料性附录</w:t>
      </w:r>
      <w:r>
        <w:rPr>
          <w:rFonts w:hint="eastAsia"/>
        </w:rPr>
        <w:t>B。</w:t>
      </w:r>
    </w:p>
    <w:p w14:paraId="3F061202">
      <w:pPr>
        <w:pStyle w:val="105"/>
        <w:spacing w:before="120" w:after="120"/>
      </w:pPr>
      <w:r>
        <w:rPr>
          <w:rFonts w:hint="eastAsia"/>
        </w:rPr>
        <w:t>报告自动生成</w:t>
      </w:r>
    </w:p>
    <w:p w14:paraId="490DFBAD">
      <w:pPr>
        <w:pStyle w:val="56"/>
        <w:ind w:firstLine="420"/>
      </w:pPr>
      <w:r>
        <w:rPr>
          <w:rFonts w:hint="eastAsia"/>
        </w:rPr>
        <w:t>基于地理信息系统或地铁场站平面图标注采样点位，由智能采样数据管理平台整合采样记录数据，自动生成包含采样点位信息、编号信息、客流密度等级、实时环境感知数据、采样数据列表等采样记录内容的标准化报告。</w:t>
      </w:r>
    </w:p>
    <w:bookmarkEnd w:id="13"/>
    <w:p w14:paraId="3F221875">
      <w:pPr>
        <w:pStyle w:val="56"/>
        <w:ind w:firstLine="0" w:firstLineChars="0"/>
        <w:jc w:val="center"/>
      </w:pPr>
      <w:bookmarkStart w:id="54"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C02C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1B64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FA2C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52963">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7A8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861C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DB04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7D926">
    <w:pPr>
      <w:pStyle w:val="61"/>
    </w:pPr>
    <w:r>
      <w:fldChar w:fldCharType="begin"/>
    </w:r>
    <w:r>
      <w:instrText xml:space="preserve"> STYLEREF  标准文件_文件编号  \* MERGEFORMAT </w:instrText>
    </w:r>
    <w:r>
      <w:fldChar w:fldCharType="separate"/>
    </w:r>
    <w:r>
      <w:t>T/CHNAW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5A97E">
    <w:pPr>
      <w:pStyle w:val="18"/>
      <w:jc w:val="right"/>
    </w:pPr>
    <w:r>
      <w:fldChar w:fldCharType="begin"/>
    </w:r>
    <w:r>
      <w:instrText xml:space="preserve"> STYLEREF  标准文件_文件编号  \* MERGEFORMAT </w:instrText>
    </w:r>
    <w:r>
      <w:fldChar w:fldCharType="separate"/>
    </w:r>
    <w:r>
      <w:t>T/CHNAW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5E8A"/>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EA1"/>
    <w:rsid w:val="000A7311"/>
    <w:rsid w:val="000B060F"/>
    <w:rsid w:val="000B1592"/>
    <w:rsid w:val="000B1FF2"/>
    <w:rsid w:val="000B3CDA"/>
    <w:rsid w:val="000B6A0B"/>
    <w:rsid w:val="000C0F6C"/>
    <w:rsid w:val="000C11DB"/>
    <w:rsid w:val="000C1456"/>
    <w:rsid w:val="000C1492"/>
    <w:rsid w:val="000C2FBD"/>
    <w:rsid w:val="000C4B41"/>
    <w:rsid w:val="000C57D6"/>
    <w:rsid w:val="000C6362"/>
    <w:rsid w:val="000C7666"/>
    <w:rsid w:val="000D0A9C"/>
    <w:rsid w:val="000D1795"/>
    <w:rsid w:val="000D329A"/>
    <w:rsid w:val="000D4B9C"/>
    <w:rsid w:val="000D4EB6"/>
    <w:rsid w:val="000D610F"/>
    <w:rsid w:val="000D753B"/>
    <w:rsid w:val="000E4C9E"/>
    <w:rsid w:val="000E6FD7"/>
    <w:rsid w:val="000E7144"/>
    <w:rsid w:val="000F06E1"/>
    <w:rsid w:val="000F0E3C"/>
    <w:rsid w:val="000F19D5"/>
    <w:rsid w:val="000F4050"/>
    <w:rsid w:val="000F4AEA"/>
    <w:rsid w:val="000F67E9"/>
    <w:rsid w:val="00104926"/>
    <w:rsid w:val="00113B1E"/>
    <w:rsid w:val="00115790"/>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CBF"/>
    <w:rsid w:val="0019348F"/>
    <w:rsid w:val="00193A07"/>
    <w:rsid w:val="00194C95"/>
    <w:rsid w:val="00195C34"/>
    <w:rsid w:val="00196EF5"/>
    <w:rsid w:val="001A1A53"/>
    <w:rsid w:val="001A234A"/>
    <w:rsid w:val="001A4CF3"/>
    <w:rsid w:val="001A6696"/>
    <w:rsid w:val="001B06E8"/>
    <w:rsid w:val="001B71D0"/>
    <w:rsid w:val="001B71EE"/>
    <w:rsid w:val="001C04A8"/>
    <w:rsid w:val="001C1442"/>
    <w:rsid w:val="001C2C03"/>
    <w:rsid w:val="001C42F7"/>
    <w:rsid w:val="001C49E5"/>
    <w:rsid w:val="001C680C"/>
    <w:rsid w:val="001C7FEA"/>
    <w:rsid w:val="001D0499"/>
    <w:rsid w:val="001D0BBE"/>
    <w:rsid w:val="001D0ED4"/>
    <w:rsid w:val="001D212F"/>
    <w:rsid w:val="001D29D7"/>
    <w:rsid w:val="001D2DE7"/>
    <w:rsid w:val="001D411C"/>
    <w:rsid w:val="001D5F82"/>
    <w:rsid w:val="001E1B6A"/>
    <w:rsid w:val="001E2484"/>
    <w:rsid w:val="001E3321"/>
    <w:rsid w:val="001E3CC4"/>
    <w:rsid w:val="001E4882"/>
    <w:rsid w:val="001E73AB"/>
    <w:rsid w:val="001F092D"/>
    <w:rsid w:val="001F143A"/>
    <w:rsid w:val="001F1605"/>
    <w:rsid w:val="001F2508"/>
    <w:rsid w:val="001F4816"/>
    <w:rsid w:val="001F5F10"/>
    <w:rsid w:val="001F69B4"/>
    <w:rsid w:val="001F77C7"/>
    <w:rsid w:val="00200183"/>
    <w:rsid w:val="00200333"/>
    <w:rsid w:val="0020107D"/>
    <w:rsid w:val="00202AA4"/>
    <w:rsid w:val="002031F7"/>
    <w:rsid w:val="002040E6"/>
    <w:rsid w:val="00204334"/>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CD0"/>
    <w:rsid w:val="00247F52"/>
    <w:rsid w:val="00250B25"/>
    <w:rsid w:val="00250BBE"/>
    <w:rsid w:val="002515C2"/>
    <w:rsid w:val="0025194F"/>
    <w:rsid w:val="0026148A"/>
    <w:rsid w:val="00262696"/>
    <w:rsid w:val="0026362E"/>
    <w:rsid w:val="00263D25"/>
    <w:rsid w:val="002643C3"/>
    <w:rsid w:val="00264A0C"/>
    <w:rsid w:val="00266EEB"/>
    <w:rsid w:val="00267EF4"/>
    <w:rsid w:val="00270CB8"/>
    <w:rsid w:val="00272B08"/>
    <w:rsid w:val="00281BB8"/>
    <w:rsid w:val="00281E9E"/>
    <w:rsid w:val="00282405"/>
    <w:rsid w:val="00283748"/>
    <w:rsid w:val="00285170"/>
    <w:rsid w:val="00285361"/>
    <w:rsid w:val="002903E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3CFD"/>
    <w:rsid w:val="00317988"/>
    <w:rsid w:val="003221B4"/>
    <w:rsid w:val="0032258D"/>
    <w:rsid w:val="00322E62"/>
    <w:rsid w:val="00324D13"/>
    <w:rsid w:val="00324EDD"/>
    <w:rsid w:val="00325392"/>
    <w:rsid w:val="003331E4"/>
    <w:rsid w:val="00336C64"/>
    <w:rsid w:val="00337162"/>
    <w:rsid w:val="0034194F"/>
    <w:rsid w:val="00344605"/>
    <w:rsid w:val="003474AA"/>
    <w:rsid w:val="0035075E"/>
    <w:rsid w:val="00350D1D"/>
    <w:rsid w:val="00352C83"/>
    <w:rsid w:val="00352F1A"/>
    <w:rsid w:val="0036107C"/>
    <w:rsid w:val="0036139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3F1"/>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D14"/>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05"/>
    <w:rsid w:val="005043BB"/>
    <w:rsid w:val="00504A3D"/>
    <w:rsid w:val="00505767"/>
    <w:rsid w:val="005073F0"/>
    <w:rsid w:val="00510A7B"/>
    <w:rsid w:val="00512275"/>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1F1"/>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2A49"/>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EE4"/>
    <w:rsid w:val="005F0D9C"/>
    <w:rsid w:val="005F1510"/>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58D"/>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EA7"/>
    <w:rsid w:val="00711CBA"/>
    <w:rsid w:val="00711FB5"/>
    <w:rsid w:val="00712A01"/>
    <w:rsid w:val="00714F58"/>
    <w:rsid w:val="00722FBF"/>
    <w:rsid w:val="00722FC2"/>
    <w:rsid w:val="00723AA2"/>
    <w:rsid w:val="00724E1B"/>
    <w:rsid w:val="00725949"/>
    <w:rsid w:val="00727FA2"/>
    <w:rsid w:val="007322D9"/>
    <w:rsid w:val="00732BC0"/>
    <w:rsid w:val="00736C1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4F06"/>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88C"/>
    <w:rsid w:val="007B7C95"/>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DF8"/>
    <w:rsid w:val="0088276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20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A57"/>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5B53"/>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FC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CCC"/>
    <w:rsid w:val="00A55BD6"/>
    <w:rsid w:val="00A55D50"/>
    <w:rsid w:val="00A57142"/>
    <w:rsid w:val="00A648CD"/>
    <w:rsid w:val="00A6537A"/>
    <w:rsid w:val="00A65530"/>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BE"/>
    <w:rsid w:val="00AA4286"/>
    <w:rsid w:val="00AA456B"/>
    <w:rsid w:val="00AA57F5"/>
    <w:rsid w:val="00AA672E"/>
    <w:rsid w:val="00AA6EC9"/>
    <w:rsid w:val="00AB6309"/>
    <w:rsid w:val="00AB6C5F"/>
    <w:rsid w:val="00AB7129"/>
    <w:rsid w:val="00AC1440"/>
    <w:rsid w:val="00AC27A6"/>
    <w:rsid w:val="00AC30F7"/>
    <w:rsid w:val="00AC3A5A"/>
    <w:rsid w:val="00AC4D95"/>
    <w:rsid w:val="00AC5DF4"/>
    <w:rsid w:val="00AD0AEF"/>
    <w:rsid w:val="00AD11B7"/>
    <w:rsid w:val="00AD1A94"/>
    <w:rsid w:val="00AD1C05"/>
    <w:rsid w:val="00AD4126"/>
    <w:rsid w:val="00AD421C"/>
    <w:rsid w:val="00AD44FA"/>
    <w:rsid w:val="00AD7F65"/>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432"/>
    <w:rsid w:val="00B378E5"/>
    <w:rsid w:val="00B4346D"/>
    <w:rsid w:val="00B440F4"/>
    <w:rsid w:val="00B447A5"/>
    <w:rsid w:val="00B4654C"/>
    <w:rsid w:val="00B47293"/>
    <w:rsid w:val="00B501B0"/>
    <w:rsid w:val="00B50E50"/>
    <w:rsid w:val="00B52120"/>
    <w:rsid w:val="00B54ABC"/>
    <w:rsid w:val="00B56FBE"/>
    <w:rsid w:val="00B60ACF"/>
    <w:rsid w:val="00B62B58"/>
    <w:rsid w:val="00B65149"/>
    <w:rsid w:val="00B66567"/>
    <w:rsid w:val="00B66F52"/>
    <w:rsid w:val="00B66FE5"/>
    <w:rsid w:val="00B72880"/>
    <w:rsid w:val="00B758BF"/>
    <w:rsid w:val="00B77EC8"/>
    <w:rsid w:val="00B815CA"/>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D51"/>
    <w:rsid w:val="00BD52D7"/>
    <w:rsid w:val="00BD5AD2"/>
    <w:rsid w:val="00BE22F3"/>
    <w:rsid w:val="00BE30A3"/>
    <w:rsid w:val="00BE5B52"/>
    <w:rsid w:val="00BE7B8D"/>
    <w:rsid w:val="00BF0993"/>
    <w:rsid w:val="00BF10A9"/>
    <w:rsid w:val="00BF1703"/>
    <w:rsid w:val="00BF231C"/>
    <w:rsid w:val="00BF51E5"/>
    <w:rsid w:val="00BF74A6"/>
    <w:rsid w:val="00C013AD"/>
    <w:rsid w:val="00C01B18"/>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26B6"/>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5E2"/>
    <w:rsid w:val="00C9435D"/>
    <w:rsid w:val="00C94DF2"/>
    <w:rsid w:val="00C96741"/>
    <w:rsid w:val="00CA2D1B"/>
    <w:rsid w:val="00CA375D"/>
    <w:rsid w:val="00CA662A"/>
    <w:rsid w:val="00CA7AFD"/>
    <w:rsid w:val="00CA7C3C"/>
    <w:rsid w:val="00CB0189"/>
    <w:rsid w:val="00CB0BA2"/>
    <w:rsid w:val="00CB13A7"/>
    <w:rsid w:val="00CB1A42"/>
    <w:rsid w:val="00CB1B0C"/>
    <w:rsid w:val="00CB2C0B"/>
    <w:rsid w:val="00CB517D"/>
    <w:rsid w:val="00CB77F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E4F"/>
    <w:rsid w:val="00D66846"/>
    <w:rsid w:val="00D675FB"/>
    <w:rsid w:val="00D71F25"/>
    <w:rsid w:val="00D720E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FA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1575"/>
    <w:rsid w:val="00E02DFB"/>
    <w:rsid w:val="00E030F9"/>
    <w:rsid w:val="00E0311A"/>
    <w:rsid w:val="00E03138"/>
    <w:rsid w:val="00E06404"/>
    <w:rsid w:val="00E11A85"/>
    <w:rsid w:val="00E12495"/>
    <w:rsid w:val="00E15CCD"/>
    <w:rsid w:val="00E202EF"/>
    <w:rsid w:val="00E208A0"/>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577"/>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D35"/>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D3D"/>
    <w:rsid w:val="00FD2A7C"/>
    <w:rsid w:val="00FD59EB"/>
    <w:rsid w:val="00FD7299"/>
    <w:rsid w:val="00FE0197"/>
    <w:rsid w:val="00FE1FBE"/>
    <w:rsid w:val="00FE3901"/>
    <w:rsid w:val="00FE39D3"/>
    <w:rsid w:val="00FE4BCE"/>
    <w:rsid w:val="00FE54AE"/>
    <w:rsid w:val="00FE576A"/>
    <w:rsid w:val="00FE7E79"/>
    <w:rsid w:val="00FF3E7D"/>
    <w:rsid w:val="00FF5B99"/>
    <w:rsid w:val="00FF730C"/>
    <w:rsid w:val="00FF73F4"/>
    <w:rsid w:val="00FF7CE4"/>
    <w:rsid w:val="00FF7E39"/>
    <w:rsid w:val="01D903FB"/>
    <w:rsid w:val="02B974BC"/>
    <w:rsid w:val="054D5EBD"/>
    <w:rsid w:val="0BEA4372"/>
    <w:rsid w:val="0CAB0504"/>
    <w:rsid w:val="10702CF6"/>
    <w:rsid w:val="12211934"/>
    <w:rsid w:val="14441488"/>
    <w:rsid w:val="16F81B7A"/>
    <w:rsid w:val="19AC211A"/>
    <w:rsid w:val="1DE3602E"/>
    <w:rsid w:val="1F58479A"/>
    <w:rsid w:val="23620D1A"/>
    <w:rsid w:val="2D7A29F1"/>
    <w:rsid w:val="2E271C28"/>
    <w:rsid w:val="30413836"/>
    <w:rsid w:val="34A35180"/>
    <w:rsid w:val="36AA789A"/>
    <w:rsid w:val="3AA43306"/>
    <w:rsid w:val="3CD46018"/>
    <w:rsid w:val="42E859D2"/>
    <w:rsid w:val="45C61C8F"/>
    <w:rsid w:val="47F3119A"/>
    <w:rsid w:val="49852E6F"/>
    <w:rsid w:val="4B3A6678"/>
    <w:rsid w:val="4B4204F0"/>
    <w:rsid w:val="4CB314A7"/>
    <w:rsid w:val="558024C3"/>
    <w:rsid w:val="55A1611F"/>
    <w:rsid w:val="57F171B2"/>
    <w:rsid w:val="594A423A"/>
    <w:rsid w:val="5D2679F4"/>
    <w:rsid w:val="5D9B3506"/>
    <w:rsid w:val="5DF84E50"/>
    <w:rsid w:val="5F5511A2"/>
    <w:rsid w:val="60041451"/>
    <w:rsid w:val="612E62C9"/>
    <w:rsid w:val="61746FBC"/>
    <w:rsid w:val="6E64768B"/>
    <w:rsid w:val="71015DA0"/>
    <w:rsid w:val="72105730"/>
    <w:rsid w:val="726F73B5"/>
    <w:rsid w:val="7322062A"/>
    <w:rsid w:val="733046CD"/>
    <w:rsid w:val="750E11E8"/>
    <w:rsid w:val="772711EC"/>
    <w:rsid w:val="7CB5035D"/>
    <w:rsid w:val="7E4D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B8F7E03F914D9F9CB15C58A9D96746"/>
        <w:style w:val=""/>
        <w:category>
          <w:name w:val="常规"/>
          <w:gallery w:val="placeholder"/>
        </w:category>
        <w:types>
          <w:type w:val="bbPlcHdr"/>
        </w:types>
        <w:behaviors>
          <w:behavior w:val="content"/>
        </w:behaviors>
        <w:description w:val=""/>
        <w:guid w:val="{2207F731-5E6A-4C81-B46F-8BAF36006DC4}"/>
      </w:docPartPr>
      <w:docPartBody>
        <w:p w14:paraId="2B3F5AC5">
          <w:pPr>
            <w:pStyle w:val="5"/>
          </w:pPr>
          <w:r>
            <w:rPr>
              <w:rStyle w:val="4"/>
              <w:rFonts w:hint="eastAsia"/>
            </w:rPr>
            <w:t>单击或点击此处输入文字。</w:t>
          </w:r>
        </w:p>
      </w:docPartBody>
    </w:docPart>
    <w:docPart>
      <w:docPartPr>
        <w:name w:val="E8186310742D431B98EEE5B380B9AF6E"/>
        <w:style w:val=""/>
        <w:category>
          <w:name w:val="常规"/>
          <w:gallery w:val="placeholder"/>
        </w:category>
        <w:types>
          <w:type w:val="bbPlcHdr"/>
        </w:types>
        <w:behaviors>
          <w:behavior w:val="content"/>
        </w:behaviors>
        <w:description w:val=""/>
        <w:guid w:val="{2CF5CA1D-30CB-425E-861E-806BE023D87E}"/>
      </w:docPartPr>
      <w:docPartBody>
        <w:p w14:paraId="27A16645">
          <w:pPr>
            <w:pStyle w:val="6"/>
          </w:pPr>
          <w:r>
            <w:rPr>
              <w:rStyle w:val="4"/>
              <w:rFonts w:hint="eastAsia"/>
            </w:rPr>
            <w:t>选择一项。</w:t>
          </w:r>
        </w:p>
      </w:docPartBody>
    </w:docPart>
    <w:docPart>
      <w:docPartPr>
        <w:name w:val="64F8614DC1494589A22954534BD6571D"/>
        <w:style w:val=""/>
        <w:category>
          <w:name w:val="常规"/>
          <w:gallery w:val="placeholder"/>
        </w:category>
        <w:types>
          <w:type w:val="bbPlcHdr"/>
        </w:types>
        <w:behaviors>
          <w:behavior w:val="content"/>
        </w:behaviors>
        <w:description w:val=""/>
        <w:guid w:val="{AFE5A726-2ADD-42A4-AE05-83D7E9E4C5C8}"/>
      </w:docPartPr>
      <w:docPartBody>
        <w:p w14:paraId="20EF663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080"/>
    <w:rsid w:val="002732A0"/>
    <w:rsid w:val="00366FAF"/>
    <w:rsid w:val="0050317D"/>
    <w:rsid w:val="00936F8D"/>
    <w:rsid w:val="00A400A0"/>
    <w:rsid w:val="00BA5000"/>
    <w:rsid w:val="00DB7FF0"/>
    <w:rsid w:val="00DD4080"/>
    <w:rsid w:val="00DF0D27"/>
    <w:rsid w:val="00ED0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7B8F7E03F914D9F9CB15C58A9D967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8186310742D431B98EEE5B380B9AF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4F8614DC1494589A22954534BD6571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05610-83AC-4A52-B4A7-1134C0A777C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3164</Words>
  <Characters>3577</Characters>
  <Lines>33</Lines>
  <Paragraphs>9</Paragraphs>
  <TotalTime>5</TotalTime>
  <ScaleCrop>false</ScaleCrop>
  <LinksUpToDate>false</LinksUpToDate>
  <CharactersWithSpaces>3678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2025-12-21T13:47:00Z</dcterms:created>
  <dc:creator>李莉</dc:creator>
  <dc:description>&lt;config cover="true" show_menu="true" version="1.0.0" doctype="SDKXY"&gt;_x000d_
&lt;/config&gt;</dc:description>
  <cp:lastModifiedBy>zhangsir</cp:lastModifiedBy>
  <cp:lastPrinted>2021-02-02T08:22:00Z</cp:lastPrinted>
  <dcterms:modified xsi:type="dcterms:W3CDTF">2026-04-07T09:08:33Z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A07347572C5E4AD18B748D395D95395E_12</vt:lpwstr>
  </property>
  <property fmtid="{D5CDD505-2E9C-101B-9397-08002B2CF9AE}" pid="16" name="KSOTemplateDocerSaveRecord">
    <vt:lpwstr>eyJoZGlkIjoiMjFhYjg0NTMzNmMxNzk5NzQ2Nzg2NjkzNDM4OTMzMTQiLCJ1c2VySWQiOiIzMjkzNTA1OTEifQ==</vt:lpwstr>
  </property>
</Properties>
</file>